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063" w:rsidRDefault="00B50E55" w:rsidP="005E665C">
      <w:pPr>
        <w:keepNext/>
        <w:overflowPunct w:val="0"/>
        <w:autoSpaceDE w:val="0"/>
        <w:autoSpaceDN w:val="0"/>
        <w:spacing w:after="0" w:line="240" w:lineRule="auto"/>
        <w:ind w:right="51"/>
        <w:outlineLvl w:val="7"/>
        <w:rPr>
          <w:rFonts w:ascii="Times New Roman" w:hAnsi="Times New Roman"/>
          <w:b/>
          <w:bCs/>
          <w:sz w:val="28"/>
          <w:szCs w:val="28"/>
          <w:lang w:val="es-ES_tradnl" w:eastAsia="es-ES"/>
        </w:rPr>
      </w:pPr>
      <w:bookmarkStart w:id="0" w:name="_GoBack"/>
      <w:bookmarkEnd w:id="0"/>
      <w:r w:rsidRPr="00CD542C">
        <w:rPr>
          <w:rFonts w:ascii="Times New Roman" w:hAnsi="Times New Roman"/>
          <w:b/>
          <w:bCs/>
          <w:sz w:val="28"/>
          <w:szCs w:val="28"/>
          <w:lang w:val="es-ES_tradnl" w:eastAsia="es-ES"/>
        </w:rPr>
        <w:t>Sentencia C-297</w:t>
      </w:r>
      <w:r w:rsidR="005E665C">
        <w:rPr>
          <w:rFonts w:ascii="Times New Roman" w:hAnsi="Times New Roman"/>
          <w:b/>
          <w:bCs/>
          <w:sz w:val="28"/>
          <w:szCs w:val="28"/>
          <w:lang w:val="es-ES_tradnl" w:eastAsia="es-ES"/>
        </w:rPr>
        <w:t>/</w:t>
      </w:r>
      <w:r w:rsidR="00184063" w:rsidRPr="00CD542C">
        <w:rPr>
          <w:rFonts w:ascii="Times New Roman" w:hAnsi="Times New Roman"/>
          <w:b/>
          <w:bCs/>
          <w:sz w:val="28"/>
          <w:szCs w:val="28"/>
          <w:lang w:val="es-ES_tradnl" w:eastAsia="es-ES"/>
        </w:rPr>
        <w:t>16</w:t>
      </w:r>
    </w:p>
    <w:p w:rsidR="00F35ED7" w:rsidRDefault="00F35ED7" w:rsidP="005E665C">
      <w:pPr>
        <w:keepNext/>
        <w:overflowPunct w:val="0"/>
        <w:autoSpaceDE w:val="0"/>
        <w:autoSpaceDN w:val="0"/>
        <w:spacing w:after="0" w:line="240" w:lineRule="auto"/>
        <w:ind w:right="51"/>
        <w:outlineLvl w:val="7"/>
        <w:rPr>
          <w:rFonts w:ascii="Times New Roman" w:hAnsi="Times New Roman"/>
          <w:b/>
          <w:bCs/>
          <w:sz w:val="28"/>
          <w:szCs w:val="28"/>
          <w:lang w:val="es-ES_tradnl" w:eastAsia="es-ES"/>
        </w:rPr>
      </w:pPr>
    </w:p>
    <w:p w:rsidR="00F35ED7" w:rsidRDefault="00F35ED7" w:rsidP="005E665C">
      <w:pPr>
        <w:keepNext/>
        <w:overflowPunct w:val="0"/>
        <w:autoSpaceDE w:val="0"/>
        <w:autoSpaceDN w:val="0"/>
        <w:spacing w:after="0" w:line="240" w:lineRule="auto"/>
        <w:ind w:right="51"/>
        <w:outlineLvl w:val="7"/>
        <w:rPr>
          <w:rFonts w:ascii="Times New Roman" w:hAnsi="Times New Roman"/>
          <w:b/>
          <w:bCs/>
          <w:sz w:val="28"/>
          <w:szCs w:val="28"/>
          <w:lang w:val="es-ES_tradnl" w:eastAsia="es-ES"/>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shd w:val="clear" w:color="auto" w:fill="FFFFFF"/>
        </w:rPr>
      </w:pPr>
      <w:r w:rsidRPr="00160FDA">
        <w:rPr>
          <w:rFonts w:ascii="Times New Roman" w:hAnsi="Times New Roman"/>
          <w:b/>
          <w:sz w:val="28"/>
          <w:szCs w:val="28"/>
          <w:shd w:val="clear" w:color="auto" w:fill="FFFFFF"/>
        </w:rPr>
        <w:t xml:space="preserve">LEY QUE CREA EL TIPO PENAL DE FEMINICIDIO COMO DELITO AUTONOMO </w:t>
      </w:r>
      <w:r w:rsidRPr="00160FDA">
        <w:rPr>
          <w:rFonts w:ascii="Times New Roman" w:hAnsi="Times New Roman"/>
          <w:b/>
          <w:i/>
          <w:sz w:val="28"/>
          <w:szCs w:val="28"/>
          <w:shd w:val="clear" w:color="auto" w:fill="FFFFFF"/>
        </w:rPr>
        <w:t>“LEY ROSA ELVIRA CELY”</w:t>
      </w:r>
      <w:r w:rsidRPr="00160FDA">
        <w:rPr>
          <w:rFonts w:ascii="Times New Roman" w:hAnsi="Times New Roman"/>
          <w:b/>
          <w:sz w:val="28"/>
          <w:szCs w:val="28"/>
          <w:shd w:val="clear" w:color="auto" w:fill="FFFFFF"/>
        </w:rPr>
        <w:t>-</w:t>
      </w:r>
      <w:r w:rsidRPr="00160FDA">
        <w:rPr>
          <w:rFonts w:ascii="Times New Roman" w:hAnsi="Times New Roman"/>
          <w:sz w:val="28"/>
          <w:szCs w:val="28"/>
          <w:shd w:val="clear" w:color="auto" w:fill="FFFFFF"/>
        </w:rPr>
        <w:t xml:space="preserve">Contenido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sz w:val="28"/>
          <w:szCs w:val="28"/>
          <w:shd w:val="clear" w:color="auto" w:fill="FFFFFF"/>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shd w:val="clear" w:color="auto" w:fill="FFFFFF"/>
        </w:rPr>
      </w:pPr>
      <w:r w:rsidRPr="00160FDA">
        <w:rPr>
          <w:rFonts w:ascii="Times New Roman" w:hAnsi="Times New Roman"/>
          <w:b/>
          <w:sz w:val="28"/>
          <w:szCs w:val="28"/>
          <w:shd w:val="clear" w:color="auto" w:fill="FFFFFF"/>
        </w:rPr>
        <w:t>DERECHO DE LAS MUJERES A ESTAR LIBRES DE VIOLENCIA-</w:t>
      </w:r>
      <w:r w:rsidRPr="00160FDA">
        <w:rPr>
          <w:rFonts w:ascii="Times New Roman" w:hAnsi="Times New Roman"/>
          <w:sz w:val="28"/>
          <w:szCs w:val="28"/>
          <w:shd w:val="clear" w:color="auto" w:fill="FFFFFF"/>
        </w:rPr>
        <w:t>Contenido y alcance/</w:t>
      </w:r>
      <w:r w:rsidRPr="00160FDA">
        <w:rPr>
          <w:rFonts w:ascii="Times New Roman" w:hAnsi="Times New Roman"/>
          <w:b/>
          <w:sz w:val="28"/>
          <w:szCs w:val="28"/>
          <w:shd w:val="clear" w:color="auto" w:fill="FFFFFF"/>
        </w:rPr>
        <w:t>PROTECCION ESPECIAL A LAS MUJERES-</w:t>
      </w:r>
      <w:r w:rsidRPr="00160FDA">
        <w:rPr>
          <w:rFonts w:ascii="Times New Roman" w:hAnsi="Times New Roman"/>
          <w:sz w:val="28"/>
          <w:szCs w:val="28"/>
          <w:shd w:val="clear" w:color="auto" w:fill="FFFFFF"/>
        </w:rPr>
        <w:t>Jurisprudencia constitucional/</w:t>
      </w:r>
      <w:r w:rsidRPr="00160FDA">
        <w:rPr>
          <w:rFonts w:ascii="Times New Roman" w:hAnsi="Times New Roman"/>
          <w:b/>
          <w:sz w:val="28"/>
          <w:szCs w:val="28"/>
          <w:shd w:val="clear" w:color="auto" w:fill="FFFFFF"/>
        </w:rPr>
        <w:t>PROHIBICION DE DISCRIMINACION CONTRA LA MUJER Y CLAUSULA DE IGUALDAD-</w:t>
      </w:r>
      <w:r w:rsidRPr="00160FDA">
        <w:rPr>
          <w:rFonts w:ascii="Times New Roman" w:hAnsi="Times New Roman"/>
          <w:sz w:val="28"/>
          <w:szCs w:val="28"/>
          <w:shd w:val="clear" w:color="auto" w:fill="FFFFFF"/>
        </w:rPr>
        <w:t>Supone una prohibición de todo tipo de violencia contra la mujer como forma de discriminación</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shd w:val="clear" w:color="auto" w:fill="FFFFFF"/>
        </w:rPr>
      </w:pPr>
      <w:r w:rsidRPr="00160FDA">
        <w:rPr>
          <w:rFonts w:ascii="Times New Roman" w:hAnsi="Times New Roman"/>
          <w:sz w:val="28"/>
          <w:szCs w:val="28"/>
          <w:shd w:val="clear" w:color="auto" w:fill="FFFFFF"/>
        </w:rPr>
        <w:t xml:space="preserve">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shd w:val="clear" w:color="auto" w:fill="FFFFFF"/>
        </w:rPr>
      </w:pPr>
      <w:r w:rsidRPr="00160FDA">
        <w:rPr>
          <w:rFonts w:ascii="Times New Roman" w:hAnsi="Times New Roman"/>
          <w:b/>
          <w:sz w:val="28"/>
          <w:szCs w:val="28"/>
        </w:rPr>
        <w:t>TIPIFICACION DE FEMINICIDIO-</w:t>
      </w:r>
      <w:r w:rsidRPr="00160FDA">
        <w:rPr>
          <w:rFonts w:ascii="Times New Roman" w:hAnsi="Times New Roman"/>
          <w:sz w:val="28"/>
          <w:szCs w:val="28"/>
        </w:rPr>
        <w:t>Consideración de elementos de prueba para verificar la intención de dar muerte por razón de género</w:t>
      </w:r>
    </w:p>
    <w:p w:rsidR="00B410A9" w:rsidRPr="00160FDA" w:rsidRDefault="00B410A9" w:rsidP="00B410A9">
      <w:pPr>
        <w:keepNext/>
        <w:overflowPunct w:val="0"/>
        <w:autoSpaceDE w:val="0"/>
        <w:autoSpaceDN w:val="0"/>
        <w:spacing w:after="0" w:line="240" w:lineRule="auto"/>
        <w:ind w:right="51"/>
        <w:outlineLvl w:val="7"/>
        <w:rPr>
          <w:rFonts w:ascii="Times New Roman" w:hAnsi="Times New Roman"/>
          <w:b/>
          <w:bCs/>
          <w:sz w:val="28"/>
          <w:szCs w:val="28"/>
          <w:lang w:val="es-ES_tradnl" w:eastAsia="es-ES"/>
        </w:rPr>
      </w:pPr>
    </w:p>
    <w:p w:rsidR="00B410A9" w:rsidRPr="00160FDA" w:rsidRDefault="00B410A9" w:rsidP="00B410A9">
      <w:pPr>
        <w:keepNext/>
        <w:overflowPunct w:val="0"/>
        <w:autoSpaceDE w:val="0"/>
        <w:autoSpaceDN w:val="0"/>
        <w:spacing w:after="0" w:line="240" w:lineRule="auto"/>
        <w:ind w:left="567" w:right="51"/>
        <w:jc w:val="both"/>
        <w:outlineLvl w:val="7"/>
        <w:rPr>
          <w:rFonts w:ascii="Times New Roman" w:hAnsi="Times New Roman"/>
          <w:bCs/>
          <w:sz w:val="28"/>
          <w:szCs w:val="28"/>
          <w:lang w:val="es-ES_tradnl" w:eastAsia="es-ES"/>
        </w:rPr>
      </w:pPr>
      <w:r w:rsidRPr="00160FDA">
        <w:rPr>
          <w:rFonts w:ascii="Times New Roman" w:hAnsi="Times New Roman"/>
          <w:b/>
          <w:bCs/>
          <w:sz w:val="28"/>
          <w:szCs w:val="28"/>
          <w:lang w:val="es-ES_tradnl" w:eastAsia="es-ES"/>
        </w:rPr>
        <w:t>NORMA PENAL-</w:t>
      </w:r>
      <w:r w:rsidRPr="00160FDA">
        <w:rPr>
          <w:rFonts w:ascii="Times New Roman" w:hAnsi="Times New Roman"/>
          <w:bCs/>
          <w:sz w:val="28"/>
          <w:szCs w:val="28"/>
          <w:lang w:val="es-ES_tradnl" w:eastAsia="es-ES"/>
        </w:rPr>
        <w:t>Elementos/</w:t>
      </w:r>
      <w:r w:rsidRPr="00160FDA">
        <w:rPr>
          <w:rFonts w:ascii="Times New Roman" w:hAnsi="Times New Roman"/>
          <w:b/>
          <w:bCs/>
          <w:sz w:val="28"/>
          <w:szCs w:val="28"/>
          <w:lang w:val="es-ES_tradnl" w:eastAsia="es-ES"/>
        </w:rPr>
        <w:t>PRECEPTO Y SANCION-</w:t>
      </w:r>
      <w:r w:rsidRPr="00160FDA">
        <w:rPr>
          <w:rFonts w:ascii="Times New Roman" w:hAnsi="Times New Roman"/>
          <w:bCs/>
          <w:sz w:val="28"/>
          <w:szCs w:val="28"/>
          <w:lang w:val="es-ES_tradnl" w:eastAsia="es-ES"/>
        </w:rPr>
        <w:t>Elementos del tipo penal</w:t>
      </w:r>
    </w:p>
    <w:p w:rsidR="00B410A9" w:rsidRPr="00160FDA" w:rsidRDefault="00B410A9" w:rsidP="00B410A9">
      <w:pPr>
        <w:keepNext/>
        <w:overflowPunct w:val="0"/>
        <w:autoSpaceDE w:val="0"/>
        <w:autoSpaceDN w:val="0"/>
        <w:spacing w:after="0" w:line="240" w:lineRule="auto"/>
        <w:ind w:right="51"/>
        <w:outlineLvl w:val="7"/>
        <w:rPr>
          <w:rFonts w:ascii="Times New Roman" w:hAnsi="Times New Roman"/>
          <w:bCs/>
          <w:sz w:val="28"/>
          <w:szCs w:val="28"/>
          <w:lang w:val="es-ES_tradnl" w:eastAsia="es-ES"/>
        </w:rPr>
      </w:pPr>
    </w:p>
    <w:p w:rsidR="00B410A9" w:rsidRPr="00160FDA" w:rsidRDefault="00B410A9" w:rsidP="00B410A9">
      <w:pPr>
        <w:spacing w:after="0" w:line="240" w:lineRule="auto"/>
        <w:jc w:val="both"/>
        <w:rPr>
          <w:rFonts w:ascii="Times New Roman" w:hAnsi="Times New Roman"/>
          <w:bCs/>
          <w:i/>
          <w:sz w:val="28"/>
          <w:szCs w:val="28"/>
          <w:lang w:val="es-ES_tradnl" w:eastAsia="es-ES"/>
        </w:rPr>
      </w:pPr>
      <w:r w:rsidRPr="00160FDA">
        <w:rPr>
          <w:rFonts w:ascii="Times New Roman" w:hAnsi="Times New Roman"/>
          <w:i/>
          <w:sz w:val="28"/>
          <w:szCs w:val="28"/>
          <w:bdr w:val="none" w:sz="0" w:space="0" w:color="auto" w:frame="1"/>
          <w:lang w:val="es-CO" w:eastAsia="es-ES"/>
        </w:rPr>
        <w:t>La norma penal está constituida por dos elementos: (i) el precepto (</w:t>
      </w:r>
      <w:r w:rsidRPr="00160FDA">
        <w:rPr>
          <w:rFonts w:ascii="Times New Roman" w:hAnsi="Times New Roman"/>
          <w:bCs/>
          <w:i/>
          <w:iCs/>
          <w:sz w:val="28"/>
          <w:szCs w:val="28"/>
          <w:bdr w:val="none" w:sz="0" w:space="0" w:color="auto" w:frame="1"/>
          <w:lang w:val="es-CO" w:eastAsia="es-ES"/>
        </w:rPr>
        <w:t>praeceptum legis</w:t>
      </w:r>
      <w:r w:rsidRPr="00160FDA">
        <w:rPr>
          <w:rFonts w:ascii="Times New Roman" w:hAnsi="Times New Roman"/>
          <w:i/>
          <w:sz w:val="28"/>
          <w:szCs w:val="28"/>
          <w:bdr w:val="none" w:sz="0" w:space="0" w:color="auto" w:frame="1"/>
          <w:lang w:val="es-CO" w:eastAsia="es-ES"/>
        </w:rPr>
        <w:t>) y (ii) la sanción (</w:t>
      </w:r>
      <w:r w:rsidRPr="00160FDA">
        <w:rPr>
          <w:rFonts w:ascii="Times New Roman" w:hAnsi="Times New Roman"/>
          <w:bCs/>
          <w:i/>
          <w:iCs/>
          <w:sz w:val="28"/>
          <w:szCs w:val="28"/>
          <w:bdr w:val="none" w:sz="0" w:space="0" w:color="auto" w:frame="1"/>
          <w:lang w:val="es-CO" w:eastAsia="es-ES"/>
        </w:rPr>
        <w:t>sanctio legis</w:t>
      </w:r>
      <w:r w:rsidRPr="00160FDA">
        <w:rPr>
          <w:rFonts w:ascii="Times New Roman" w:hAnsi="Times New Roman"/>
          <w:i/>
          <w:sz w:val="28"/>
          <w:szCs w:val="28"/>
          <w:bdr w:val="none" w:sz="0" w:space="0" w:color="auto" w:frame="1"/>
          <w:lang w:val="es-CO" w:eastAsia="es-ES"/>
        </w:rPr>
        <w:t>). El primero de ellos, es entendido como “la orden de observar un determinado comportamiento, es decir de no realizar algo o de cumplir determinada acción”. El segundo, se refiere a “la consecuencia jurídica que debe seguir a la infracción del precepto”. El precepto desarrolla la tipicidad de hecho punible, pues este elemento es el que contiene la descripción de lo que se debe hacer o no hacer, y, por lo tanto, del hecho constitutivo de la conducta reprochable. Ahora bien, e</w:t>
      </w:r>
      <w:r w:rsidRPr="00160FDA">
        <w:rPr>
          <w:rFonts w:ascii="Times New Roman" w:hAnsi="Times New Roman"/>
          <w:i/>
          <w:sz w:val="28"/>
          <w:szCs w:val="28"/>
          <w:bdr w:val="none" w:sz="0" w:space="0" w:color="auto" w:frame="1"/>
          <w:lang w:val="es-ES_tradnl" w:eastAsia="es-ES"/>
        </w:rPr>
        <w:t>l precepto se integra por varios elementos del tipo que conforman su estructura y que pueden ser sintetizados así: “</w:t>
      </w:r>
      <w:r w:rsidRPr="00160FDA">
        <w:rPr>
          <w:rFonts w:ascii="Times New Roman" w:hAnsi="Times New Roman"/>
          <w:bCs/>
          <w:i/>
          <w:iCs/>
          <w:sz w:val="28"/>
          <w:szCs w:val="28"/>
          <w:bdr w:val="none" w:sz="0" w:space="0" w:color="auto" w:frame="1"/>
          <w:lang w:val="es-ES_tradnl" w:eastAsia="es-ES"/>
        </w:rPr>
        <w:t>(i)</w:t>
      </w:r>
      <w:r w:rsidRPr="00160FDA">
        <w:rPr>
          <w:rFonts w:ascii="Times New Roman" w:hAnsi="Times New Roman"/>
          <w:i/>
          <w:sz w:val="28"/>
          <w:szCs w:val="28"/>
          <w:bdr w:val="none" w:sz="0" w:space="0" w:color="auto" w:frame="1"/>
          <w:lang w:val="es-ES_tradnl" w:eastAsia="es-ES"/>
        </w:rPr>
        <w:t> </w:t>
      </w:r>
      <w:r w:rsidRPr="00160FDA">
        <w:rPr>
          <w:rFonts w:ascii="Times New Roman" w:hAnsi="Times New Roman"/>
          <w:i/>
          <w:iCs/>
          <w:sz w:val="28"/>
          <w:szCs w:val="28"/>
          <w:bdr w:val="none" w:sz="0" w:space="0" w:color="auto" w:frame="1"/>
          <w:lang w:val="es-ES_tradnl" w:eastAsia="es-ES"/>
        </w:rPr>
        <w:t>un sujeto activo</w:t>
      </w:r>
      <w:r w:rsidRPr="00160FDA">
        <w:rPr>
          <w:rFonts w:ascii="Times New Roman" w:hAnsi="Times New Roman"/>
          <w:i/>
          <w:sz w:val="28"/>
          <w:szCs w:val="28"/>
          <w:bdr w:val="none" w:sz="0" w:space="0" w:color="auto" w:frame="1"/>
          <w:lang w:val="es-ES_tradnl" w:eastAsia="es-ES"/>
        </w:rPr>
        <w:t>, que es quien ejecuta la conducta reprochable y punible; </w:t>
      </w:r>
      <w:r w:rsidRPr="00160FDA">
        <w:rPr>
          <w:rFonts w:ascii="Times New Roman" w:hAnsi="Times New Roman"/>
          <w:bCs/>
          <w:i/>
          <w:iCs/>
          <w:sz w:val="28"/>
          <w:szCs w:val="28"/>
          <w:bdr w:val="none" w:sz="0" w:space="0" w:color="auto" w:frame="1"/>
          <w:lang w:val="es-ES_tradnl" w:eastAsia="es-ES"/>
        </w:rPr>
        <w:t>(ii)</w:t>
      </w:r>
      <w:r w:rsidRPr="00160FDA">
        <w:rPr>
          <w:rFonts w:ascii="Times New Roman" w:hAnsi="Times New Roman"/>
          <w:i/>
          <w:sz w:val="28"/>
          <w:szCs w:val="28"/>
          <w:bdr w:val="none" w:sz="0" w:space="0" w:color="auto" w:frame="1"/>
          <w:lang w:val="es-ES_tradnl" w:eastAsia="es-ES"/>
        </w:rPr>
        <w:t> </w:t>
      </w:r>
      <w:r w:rsidRPr="00160FDA">
        <w:rPr>
          <w:rFonts w:ascii="Times New Roman" w:hAnsi="Times New Roman"/>
          <w:i/>
          <w:iCs/>
          <w:sz w:val="28"/>
          <w:szCs w:val="28"/>
          <w:bdr w:val="none" w:sz="0" w:space="0" w:color="auto" w:frame="1"/>
          <w:lang w:val="es-ES_tradnl" w:eastAsia="es-ES"/>
        </w:rPr>
        <w:t>un sujeto</w:t>
      </w:r>
      <w:r w:rsidRPr="00160FDA">
        <w:rPr>
          <w:rFonts w:ascii="Times New Roman" w:hAnsi="Times New Roman"/>
          <w:i/>
          <w:sz w:val="28"/>
          <w:szCs w:val="28"/>
          <w:bdr w:val="none" w:sz="0" w:space="0" w:color="auto" w:frame="1"/>
          <w:lang w:val="es-ES_tradnl" w:eastAsia="es-ES"/>
        </w:rPr>
        <w:t> </w:t>
      </w:r>
      <w:r w:rsidRPr="00160FDA">
        <w:rPr>
          <w:rFonts w:ascii="Times New Roman" w:hAnsi="Times New Roman"/>
          <w:i/>
          <w:iCs/>
          <w:sz w:val="28"/>
          <w:szCs w:val="28"/>
          <w:bdr w:val="none" w:sz="0" w:space="0" w:color="auto" w:frame="1"/>
          <w:lang w:val="es-ES_tradnl" w:eastAsia="es-ES"/>
        </w:rPr>
        <w:t>pasivo</w:t>
      </w:r>
      <w:r w:rsidRPr="00160FDA">
        <w:rPr>
          <w:rFonts w:ascii="Times New Roman" w:hAnsi="Times New Roman"/>
          <w:i/>
          <w:sz w:val="28"/>
          <w:szCs w:val="28"/>
          <w:bdr w:val="none" w:sz="0" w:space="0" w:color="auto" w:frame="1"/>
          <w:lang w:val="es-ES_tradnl" w:eastAsia="es-ES"/>
        </w:rPr>
        <w:t>, que es el titular del bien jurídico que el legislador busca proteger y que resulta afectado con la conducta del sujeto activo</w:t>
      </w:r>
      <w:r w:rsidRPr="00160FDA">
        <w:rPr>
          <w:rFonts w:ascii="Times New Roman" w:hAnsi="Times New Roman"/>
          <w:i/>
          <w:iCs/>
          <w:sz w:val="28"/>
          <w:szCs w:val="28"/>
          <w:bdr w:val="none" w:sz="0" w:space="0" w:color="auto" w:frame="1"/>
          <w:lang w:val="es-ES_tradnl" w:eastAsia="es-ES"/>
        </w:rPr>
        <w:t>; </w:t>
      </w:r>
      <w:r w:rsidRPr="00160FDA">
        <w:rPr>
          <w:rFonts w:ascii="Times New Roman" w:hAnsi="Times New Roman"/>
          <w:bCs/>
          <w:i/>
          <w:iCs/>
          <w:sz w:val="28"/>
          <w:szCs w:val="28"/>
          <w:bdr w:val="none" w:sz="0" w:space="0" w:color="auto" w:frame="1"/>
          <w:lang w:val="es-ES_tradnl" w:eastAsia="es-ES"/>
        </w:rPr>
        <w:t>(iii)</w:t>
      </w:r>
      <w:r w:rsidRPr="00160FDA">
        <w:rPr>
          <w:rFonts w:ascii="Times New Roman" w:hAnsi="Times New Roman"/>
          <w:i/>
          <w:iCs/>
          <w:sz w:val="28"/>
          <w:szCs w:val="28"/>
          <w:bdr w:val="none" w:sz="0" w:space="0" w:color="auto" w:frame="1"/>
          <w:lang w:val="es-ES_tradnl" w:eastAsia="es-ES"/>
        </w:rPr>
        <w:t> una conducta</w:t>
      </w:r>
      <w:r w:rsidRPr="00160FDA">
        <w:rPr>
          <w:rFonts w:ascii="Times New Roman" w:hAnsi="Times New Roman"/>
          <w:i/>
          <w:sz w:val="28"/>
          <w:szCs w:val="28"/>
          <w:bdr w:val="none" w:sz="0" w:space="0" w:color="auto" w:frame="1"/>
          <w:lang w:val="es-ES_tradnl" w:eastAsia="es-ES"/>
        </w:rPr>
        <w:t>, que corresponde al comportamiento de acción o de omisión cuya realización se acomoda a la descripción del tipo y que generalmente se identifica con un verbo rector; y </w:t>
      </w:r>
      <w:r w:rsidRPr="00160FDA">
        <w:rPr>
          <w:rFonts w:ascii="Times New Roman" w:hAnsi="Times New Roman"/>
          <w:bCs/>
          <w:i/>
          <w:iCs/>
          <w:sz w:val="28"/>
          <w:szCs w:val="28"/>
          <w:bdr w:val="none" w:sz="0" w:space="0" w:color="auto" w:frame="1"/>
          <w:lang w:val="es-ES_tradnl" w:eastAsia="es-ES"/>
        </w:rPr>
        <w:t>(iii)</w:t>
      </w:r>
      <w:r w:rsidRPr="00160FDA">
        <w:rPr>
          <w:rFonts w:ascii="Times New Roman" w:hAnsi="Times New Roman"/>
          <w:i/>
          <w:sz w:val="28"/>
          <w:szCs w:val="28"/>
          <w:bdr w:val="none" w:sz="0" w:space="0" w:color="auto" w:frame="1"/>
          <w:lang w:val="es-ES_tradnl" w:eastAsia="es-ES"/>
        </w:rPr>
        <w:t> </w:t>
      </w:r>
      <w:r w:rsidRPr="00160FDA">
        <w:rPr>
          <w:rFonts w:ascii="Times New Roman" w:hAnsi="Times New Roman"/>
          <w:i/>
          <w:iCs/>
          <w:sz w:val="28"/>
          <w:szCs w:val="28"/>
          <w:bdr w:val="none" w:sz="0" w:space="0" w:color="auto" w:frame="1"/>
          <w:lang w:val="es-ES_tradnl" w:eastAsia="es-ES"/>
        </w:rPr>
        <w:t>el objeto de doble entidad</w:t>
      </w:r>
      <w:r w:rsidRPr="00160FDA">
        <w:rPr>
          <w:rFonts w:ascii="Times New Roman" w:hAnsi="Times New Roman"/>
          <w:i/>
          <w:sz w:val="28"/>
          <w:szCs w:val="28"/>
          <w:bdr w:val="none" w:sz="0" w:space="0" w:color="auto" w:frame="1"/>
          <w:lang w:val="es-ES_tradnl" w:eastAsia="es-ES"/>
        </w:rPr>
        <w:t>;</w:t>
      </w:r>
      <w:r w:rsidRPr="00160FDA">
        <w:rPr>
          <w:rFonts w:ascii="Times New Roman" w:hAnsi="Times New Roman"/>
          <w:i/>
          <w:iCs/>
          <w:sz w:val="28"/>
          <w:szCs w:val="28"/>
          <w:bdr w:val="none" w:sz="0" w:space="0" w:color="auto" w:frame="1"/>
          <w:lang w:val="es-ES_tradnl" w:eastAsia="es-ES"/>
        </w:rPr>
        <w:t> jurídica,</w:t>
      </w:r>
      <w:r w:rsidRPr="00160FDA">
        <w:rPr>
          <w:rFonts w:ascii="Times New Roman" w:hAnsi="Times New Roman"/>
          <w:i/>
          <w:sz w:val="28"/>
          <w:szCs w:val="28"/>
          <w:bdr w:val="none" w:sz="0" w:space="0" w:color="auto" w:frame="1"/>
          <w:lang w:val="es-ES_tradnl" w:eastAsia="es-ES"/>
        </w:rPr>
        <w:t> en cuanto se refiere al interés que el Estado pretende proteger y que resulta vulnerado con la acción u omisión del sujeto activo, y </w:t>
      </w:r>
      <w:r w:rsidRPr="00160FDA">
        <w:rPr>
          <w:rFonts w:ascii="Times New Roman" w:hAnsi="Times New Roman"/>
          <w:i/>
          <w:iCs/>
          <w:sz w:val="28"/>
          <w:szCs w:val="28"/>
          <w:bdr w:val="none" w:sz="0" w:space="0" w:color="auto" w:frame="1"/>
          <w:lang w:val="es-ES_tradnl" w:eastAsia="es-ES"/>
        </w:rPr>
        <w:t>material,</w:t>
      </w:r>
      <w:r w:rsidRPr="00160FDA">
        <w:rPr>
          <w:rFonts w:ascii="Times New Roman" w:hAnsi="Times New Roman"/>
          <w:i/>
          <w:sz w:val="28"/>
          <w:szCs w:val="28"/>
          <w:bdr w:val="none" w:sz="0" w:space="0" w:color="auto" w:frame="1"/>
          <w:lang w:val="es-ES_tradnl" w:eastAsia="es-ES"/>
        </w:rPr>
        <w:t> que hace relación a aquello (persona o cosa) sobre lo cual se concreta la vulneración del interés jurídico tutelado y hacia el cual se orienta la conducta del agente”.</w:t>
      </w:r>
    </w:p>
    <w:p w:rsidR="00B410A9" w:rsidRPr="00160FDA" w:rsidRDefault="00B410A9" w:rsidP="00B410A9">
      <w:pPr>
        <w:keepNext/>
        <w:overflowPunct w:val="0"/>
        <w:autoSpaceDE w:val="0"/>
        <w:autoSpaceDN w:val="0"/>
        <w:spacing w:after="0" w:line="240" w:lineRule="auto"/>
        <w:ind w:right="51"/>
        <w:outlineLvl w:val="7"/>
        <w:rPr>
          <w:rFonts w:ascii="Times New Roman" w:hAnsi="Times New Roman"/>
          <w:bCs/>
          <w:i/>
          <w:sz w:val="28"/>
          <w:szCs w:val="28"/>
          <w:lang w:val="es-ES_tradnl" w:eastAsia="es-ES"/>
        </w:rPr>
      </w:pPr>
    </w:p>
    <w:p w:rsidR="00B410A9" w:rsidRPr="00160FDA" w:rsidRDefault="00B410A9" w:rsidP="00B410A9">
      <w:pPr>
        <w:keepNext/>
        <w:overflowPunct w:val="0"/>
        <w:autoSpaceDE w:val="0"/>
        <w:autoSpaceDN w:val="0"/>
        <w:spacing w:after="0" w:line="240" w:lineRule="auto"/>
        <w:ind w:left="567" w:right="51"/>
        <w:jc w:val="both"/>
        <w:outlineLvl w:val="7"/>
        <w:rPr>
          <w:rFonts w:ascii="Times New Roman" w:hAnsi="Times New Roman"/>
          <w:sz w:val="28"/>
          <w:szCs w:val="28"/>
          <w:bdr w:val="none" w:sz="0" w:space="0" w:color="auto" w:frame="1"/>
          <w:shd w:val="clear" w:color="auto" w:fill="FFFFFF"/>
          <w:lang w:val="es-CO"/>
        </w:rPr>
      </w:pPr>
      <w:r w:rsidRPr="00160FDA">
        <w:rPr>
          <w:rFonts w:ascii="Times New Roman" w:hAnsi="Times New Roman"/>
          <w:b/>
          <w:bCs/>
          <w:sz w:val="28"/>
          <w:szCs w:val="28"/>
          <w:bdr w:val="none" w:sz="0" w:space="0" w:color="auto" w:frame="1"/>
          <w:lang w:val="es-CO"/>
        </w:rPr>
        <w:t>TIPO PENAL</w:t>
      </w:r>
      <w:r w:rsidRPr="00160FDA">
        <w:rPr>
          <w:rFonts w:ascii="Times New Roman" w:hAnsi="Times New Roman"/>
          <w:b/>
          <w:sz w:val="28"/>
          <w:szCs w:val="28"/>
          <w:bdr w:val="none" w:sz="0" w:space="0" w:color="auto" w:frame="1"/>
          <w:shd w:val="clear" w:color="auto" w:fill="FFFFFF"/>
          <w:lang w:val="es-CO"/>
        </w:rPr>
        <w:t>-</w:t>
      </w:r>
      <w:r w:rsidRPr="00160FDA">
        <w:rPr>
          <w:rFonts w:ascii="Times New Roman" w:hAnsi="Times New Roman"/>
          <w:sz w:val="28"/>
          <w:szCs w:val="28"/>
          <w:bdr w:val="none" w:sz="0" w:space="0" w:color="auto" w:frame="1"/>
          <w:shd w:val="clear" w:color="auto" w:fill="FFFFFF"/>
          <w:lang w:val="es-CO"/>
        </w:rPr>
        <w:t xml:space="preserve">Determinación </w:t>
      </w:r>
    </w:p>
    <w:p w:rsidR="00B410A9" w:rsidRPr="00160FDA" w:rsidRDefault="00B410A9" w:rsidP="00B410A9">
      <w:pPr>
        <w:keepNext/>
        <w:overflowPunct w:val="0"/>
        <w:autoSpaceDE w:val="0"/>
        <w:autoSpaceDN w:val="0"/>
        <w:spacing w:after="0" w:line="240" w:lineRule="auto"/>
        <w:ind w:left="567" w:right="51"/>
        <w:outlineLvl w:val="7"/>
        <w:rPr>
          <w:rFonts w:ascii="Times New Roman" w:hAnsi="Times New Roman"/>
          <w:bCs/>
          <w:i/>
          <w:sz w:val="28"/>
          <w:szCs w:val="28"/>
          <w:lang w:val="es-ES_tradnl" w:eastAsia="es-ES"/>
        </w:rPr>
      </w:pPr>
    </w:p>
    <w:p w:rsidR="00B410A9" w:rsidRPr="00160FDA" w:rsidRDefault="00B410A9" w:rsidP="00B410A9">
      <w:pPr>
        <w:shd w:val="clear" w:color="auto" w:fill="FFFFFF"/>
        <w:spacing w:after="0" w:line="240" w:lineRule="auto"/>
        <w:ind w:right="140"/>
        <w:jc w:val="both"/>
        <w:textAlignment w:val="baseline"/>
        <w:rPr>
          <w:rFonts w:ascii="Times New Roman" w:hAnsi="Times New Roman"/>
          <w:i/>
          <w:sz w:val="28"/>
          <w:szCs w:val="28"/>
        </w:rPr>
      </w:pPr>
      <w:r w:rsidRPr="00160FDA">
        <w:rPr>
          <w:rFonts w:ascii="Times New Roman" w:hAnsi="Times New Roman"/>
          <w:i/>
          <w:sz w:val="28"/>
          <w:szCs w:val="28"/>
          <w:bdr w:val="none" w:sz="0" w:space="0" w:color="auto" w:frame="1"/>
          <w:lang w:val="es-CO" w:eastAsia="es-ES"/>
        </w:rPr>
        <w:t xml:space="preserve">La determinación de los tipos penales implica el señalamiento de los elementos que estructuran la conducta que da lugar a una sanción penal. </w:t>
      </w:r>
      <w:r w:rsidRPr="00160FDA">
        <w:rPr>
          <w:rFonts w:ascii="Times New Roman" w:hAnsi="Times New Roman"/>
          <w:i/>
          <w:sz w:val="28"/>
          <w:szCs w:val="28"/>
          <w:lang w:eastAsia="es-ES"/>
        </w:rPr>
        <w:t xml:space="preserve"> </w:t>
      </w:r>
      <w:r w:rsidRPr="00160FDA">
        <w:rPr>
          <w:rFonts w:ascii="Times New Roman" w:hAnsi="Times New Roman"/>
          <w:i/>
          <w:sz w:val="28"/>
          <w:szCs w:val="28"/>
        </w:rPr>
        <w:t xml:space="preserve">A su vez, el hecho típico tiene un ingrediente objetivo que corresponde al aspecto externo de la conducta y, uno subjetivo, que se trata de un móvil que representa la libertad del agente que en algunos casos tiene elementos calificados como el ánimo o una intención particular. </w:t>
      </w:r>
    </w:p>
    <w:p w:rsidR="00B410A9" w:rsidRPr="00160FDA" w:rsidRDefault="00B410A9" w:rsidP="00B410A9">
      <w:pPr>
        <w:shd w:val="clear" w:color="auto" w:fill="FFFFFF"/>
        <w:spacing w:after="0" w:line="240" w:lineRule="auto"/>
        <w:ind w:right="140"/>
        <w:jc w:val="both"/>
        <w:textAlignment w:val="baseline"/>
        <w:rPr>
          <w:rFonts w:ascii="Times New Roman" w:hAnsi="Times New Roman"/>
          <w:i/>
          <w:sz w:val="28"/>
          <w:szCs w:val="28"/>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r w:rsidRPr="00160FDA">
        <w:rPr>
          <w:rFonts w:ascii="Times New Roman" w:hAnsi="Times New Roman"/>
          <w:b/>
          <w:sz w:val="28"/>
          <w:szCs w:val="28"/>
        </w:rPr>
        <w:t>FACULTAD PUNITIVA DEL ESTADO-</w:t>
      </w:r>
      <w:r w:rsidRPr="00160FDA">
        <w:rPr>
          <w:rFonts w:ascii="Times New Roman" w:hAnsi="Times New Roman"/>
          <w:sz w:val="28"/>
          <w:szCs w:val="28"/>
        </w:rPr>
        <w:t>Concreción/</w:t>
      </w:r>
      <w:r w:rsidRPr="00160FDA">
        <w:rPr>
          <w:rFonts w:ascii="Times New Roman" w:hAnsi="Times New Roman"/>
          <w:b/>
          <w:sz w:val="28"/>
          <w:szCs w:val="28"/>
        </w:rPr>
        <w:t>PRINCIPIO DE LEGALIDAD, TIPICIDAD Y DERECHO AL DEBIDO PROCESO-</w:t>
      </w:r>
      <w:r w:rsidRPr="00160FDA">
        <w:rPr>
          <w:rFonts w:ascii="Times New Roman" w:hAnsi="Times New Roman"/>
          <w:sz w:val="28"/>
          <w:szCs w:val="28"/>
        </w:rPr>
        <w:t>Jurisprudencia constitucional/</w:t>
      </w:r>
      <w:r w:rsidRPr="00160FDA">
        <w:rPr>
          <w:rFonts w:ascii="Times New Roman" w:hAnsi="Times New Roman"/>
          <w:b/>
          <w:sz w:val="28"/>
          <w:szCs w:val="28"/>
        </w:rPr>
        <w:t>PRINCIPIO DE</w:t>
      </w:r>
      <w:r w:rsidRPr="00160FDA">
        <w:rPr>
          <w:rFonts w:ascii="Times New Roman" w:hAnsi="Times New Roman"/>
          <w:sz w:val="28"/>
          <w:szCs w:val="28"/>
        </w:rPr>
        <w:t xml:space="preserve"> </w:t>
      </w:r>
      <w:r w:rsidRPr="00160FDA">
        <w:rPr>
          <w:rFonts w:ascii="Times New Roman" w:hAnsi="Times New Roman"/>
          <w:b/>
          <w:bCs/>
          <w:sz w:val="28"/>
          <w:szCs w:val="28"/>
          <w:bdr w:val="none" w:sz="0" w:space="0" w:color="auto" w:frame="1"/>
          <w:lang w:val="es-CO"/>
        </w:rPr>
        <w:t>TIPICIDAD-</w:t>
      </w:r>
      <w:r w:rsidRPr="00160FDA">
        <w:rPr>
          <w:rFonts w:ascii="Times New Roman" w:hAnsi="Times New Roman"/>
          <w:sz w:val="28"/>
          <w:szCs w:val="28"/>
          <w:bdr w:val="none" w:sz="0" w:space="0" w:color="auto" w:frame="1"/>
          <w:shd w:val="clear" w:color="auto" w:fill="FFFFFF"/>
          <w:lang w:val="es-CO"/>
        </w:rPr>
        <w:t>Hace parte del núcleo esencial del principio de legalidad en materia penal</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p>
    <w:p w:rsidR="00B410A9" w:rsidRPr="00160FDA" w:rsidRDefault="00B410A9" w:rsidP="00B410A9">
      <w:pPr>
        <w:spacing w:after="0" w:line="240" w:lineRule="auto"/>
        <w:ind w:left="567"/>
        <w:jc w:val="both"/>
        <w:rPr>
          <w:rFonts w:ascii="Times New Roman" w:hAnsi="Times New Roman"/>
          <w:sz w:val="28"/>
          <w:szCs w:val="28"/>
        </w:rPr>
      </w:pPr>
      <w:r w:rsidRPr="00160FDA">
        <w:rPr>
          <w:rFonts w:ascii="Times New Roman" w:hAnsi="Times New Roman"/>
          <w:b/>
          <w:sz w:val="28"/>
          <w:szCs w:val="28"/>
        </w:rPr>
        <w:t>LIBERTAD DE CONFIGURACION LEGISLATIVA EN MATERIA PENAL-</w:t>
      </w:r>
      <w:r w:rsidRPr="00160FDA">
        <w:rPr>
          <w:rFonts w:ascii="Times New Roman" w:hAnsi="Times New Roman"/>
          <w:sz w:val="28"/>
          <w:szCs w:val="28"/>
        </w:rPr>
        <w:t xml:space="preserve">Límites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r w:rsidRPr="00160FDA">
        <w:rPr>
          <w:rFonts w:ascii="Times New Roman" w:hAnsi="Times New Roman"/>
          <w:b/>
          <w:bCs/>
          <w:sz w:val="28"/>
          <w:szCs w:val="28"/>
          <w:bdr w:val="none" w:sz="0" w:space="0" w:color="auto" w:frame="1"/>
          <w:lang w:val="es-CO"/>
        </w:rPr>
        <w:t>PRINCIPIO DE LEGALIDAD-</w:t>
      </w:r>
      <w:r w:rsidRPr="00160FDA">
        <w:rPr>
          <w:rFonts w:ascii="Times New Roman" w:hAnsi="Times New Roman"/>
          <w:bCs/>
          <w:sz w:val="28"/>
          <w:szCs w:val="28"/>
          <w:bdr w:val="none" w:sz="0" w:space="0" w:color="auto" w:frame="1"/>
          <w:lang w:val="es-CO"/>
        </w:rPr>
        <w:t>Contenido y alcance</w:t>
      </w:r>
      <w:r w:rsidRPr="00160FDA">
        <w:rPr>
          <w:rFonts w:ascii="Times New Roman" w:hAnsi="Times New Roman"/>
          <w:b/>
          <w:bCs/>
          <w:sz w:val="28"/>
          <w:szCs w:val="28"/>
          <w:bdr w:val="none" w:sz="0" w:space="0" w:color="auto" w:frame="1"/>
          <w:lang w:val="es-CO"/>
        </w:rPr>
        <w:t>/PRINCIPIO DE LEGALIDAD-</w:t>
      </w:r>
      <w:r w:rsidRPr="00160FDA">
        <w:rPr>
          <w:rFonts w:ascii="Times New Roman" w:hAnsi="Times New Roman"/>
          <w:sz w:val="28"/>
          <w:szCs w:val="28"/>
          <w:bdr w:val="none" w:sz="0" w:space="0" w:color="auto" w:frame="1"/>
          <w:shd w:val="clear" w:color="auto" w:fill="FFFFFF"/>
          <w:lang w:val="es-CO"/>
        </w:rPr>
        <w:t>Materializa el derecho al debido proceso y garantiza la libertad individual e igualdad de las personas ante la ley</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sz w:val="28"/>
          <w:szCs w:val="28"/>
          <w:bdr w:val="none" w:sz="0" w:space="0" w:color="auto" w:frame="1"/>
          <w:shd w:val="clear" w:color="auto" w:fill="FFFFFF"/>
          <w:lang w:val="es-CO"/>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r w:rsidRPr="00160FDA">
        <w:rPr>
          <w:rFonts w:ascii="Times New Roman" w:hAnsi="Times New Roman"/>
          <w:b/>
          <w:sz w:val="28"/>
          <w:szCs w:val="28"/>
          <w:bdr w:val="none" w:sz="0" w:space="0" w:color="auto" w:frame="1"/>
          <w:shd w:val="clear" w:color="auto" w:fill="FFFFFF"/>
          <w:lang w:val="es-CO"/>
        </w:rPr>
        <w:t>PRINCIPIO DE LEGALIDAD PENAL-</w:t>
      </w:r>
      <w:r w:rsidRPr="00160FDA">
        <w:rPr>
          <w:rFonts w:ascii="Times New Roman" w:hAnsi="Times New Roman"/>
          <w:sz w:val="28"/>
          <w:szCs w:val="28"/>
          <w:bdr w:val="none" w:sz="0" w:space="0" w:color="auto" w:frame="1"/>
          <w:shd w:val="clear" w:color="auto" w:fill="FFFFFF"/>
          <w:lang w:val="es-CO"/>
        </w:rPr>
        <w:t xml:space="preserve">Dimensiones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p>
    <w:p w:rsidR="00B410A9" w:rsidRPr="00160FDA" w:rsidRDefault="00B410A9" w:rsidP="00B410A9">
      <w:pPr>
        <w:shd w:val="clear" w:color="auto" w:fill="FFFFFF"/>
        <w:spacing w:after="0" w:line="240" w:lineRule="auto"/>
        <w:ind w:right="140"/>
        <w:jc w:val="both"/>
        <w:textAlignment w:val="baseline"/>
        <w:rPr>
          <w:rFonts w:ascii="Times New Roman" w:hAnsi="Times New Roman"/>
          <w:i/>
          <w:sz w:val="28"/>
          <w:szCs w:val="28"/>
          <w:bdr w:val="none" w:sz="0" w:space="0" w:color="auto" w:frame="1"/>
          <w:shd w:val="clear" w:color="auto" w:fill="FFFFFF"/>
          <w:lang w:val="es-CO"/>
        </w:rPr>
      </w:pPr>
      <w:r w:rsidRPr="00160FDA">
        <w:rPr>
          <w:rFonts w:ascii="Times New Roman" w:hAnsi="Times New Roman"/>
          <w:i/>
          <w:sz w:val="28"/>
          <w:szCs w:val="28"/>
        </w:rPr>
        <w:t>Este Tribunal ha identificado las diferentes dimensiones del principio de legalidad en materia penal, las cuales comprenden: i) la reserva legal, pues la definición de las conductas punibles le corresponde al Legislador y no a los jueces ni a la administración ii) la prohibición de aplicar retroactivamente las normas penales, por lo que un hecho no puede considerarse delito ni ser objeto de sanción si no existe una ley previa que así lo establezca, salvo el principio de favorabilidad; iii) el principio de legalidad en sentido estricto denominado de tipicidad o taxatividad, exige que las conductas punibles no solo deben estar previamente establecidas por el Legislador, sino que deben estar inequívocamente definidas por la ley, por lo que la labor del juez se limita a la adecuación de la conducta reprochada a la descripción abstracta realizada por la norma. Sólo de esta manera se cumple con la función garantista y democrática, que se traduce en la protección de la libertad de las personas y el aseguramiento de la igualdad ante el ejercicio del poder punitivo por parte del Estado.</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r w:rsidRPr="00160FDA">
        <w:rPr>
          <w:rFonts w:ascii="Times New Roman" w:hAnsi="Times New Roman"/>
          <w:b/>
          <w:sz w:val="28"/>
          <w:szCs w:val="28"/>
          <w:bdr w:val="none" w:sz="0" w:space="0" w:color="auto" w:frame="1"/>
          <w:shd w:val="clear" w:color="auto" w:fill="FFFFFF"/>
          <w:lang w:val="es-CO"/>
        </w:rPr>
        <w:t>PRINCIPIO DE LEGALIDAD PENAL-</w:t>
      </w:r>
      <w:r w:rsidRPr="00160FDA">
        <w:rPr>
          <w:rFonts w:ascii="Times New Roman" w:hAnsi="Times New Roman"/>
          <w:sz w:val="28"/>
          <w:szCs w:val="28"/>
          <w:bdr w:val="none" w:sz="0" w:space="0" w:color="auto" w:frame="1"/>
          <w:shd w:val="clear" w:color="auto" w:fill="FFFFFF"/>
          <w:lang w:val="es-CO"/>
        </w:rPr>
        <w:t>Elementos</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r w:rsidRPr="00160FDA">
        <w:rPr>
          <w:rFonts w:ascii="Times New Roman" w:hAnsi="Times New Roman"/>
          <w:b/>
          <w:sz w:val="28"/>
          <w:szCs w:val="28"/>
          <w:bdr w:val="none" w:sz="0" w:space="0" w:color="auto" w:frame="1"/>
          <w:shd w:val="clear" w:color="auto" w:fill="FFFFFF"/>
          <w:lang w:val="es-CO"/>
        </w:rPr>
        <w:t>PRINCIPIO DE LEGALIDAD PENAL-</w:t>
      </w:r>
      <w:r w:rsidRPr="00160FDA">
        <w:rPr>
          <w:rFonts w:ascii="Times New Roman" w:hAnsi="Times New Roman"/>
          <w:sz w:val="28"/>
          <w:szCs w:val="28"/>
          <w:bdr w:val="none" w:sz="0" w:space="0" w:color="auto" w:frame="1"/>
          <w:shd w:val="clear" w:color="auto" w:fill="FFFFFF"/>
          <w:lang w:val="es-CO"/>
        </w:rPr>
        <w:t>Dimensiones encierran la reserva de ley, la irretroactividad de la ley penal salvo favorabilidad y la tipicidad o taxatividad, mediante las cuales evita la arbitrariedad o la intromisión indebida por parte de las autoridades penales que asumen el conocimiento y juzgamiento de las conductas típicas</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p>
    <w:p w:rsidR="00B410A9" w:rsidRPr="00160FDA" w:rsidRDefault="00B410A9" w:rsidP="00B410A9">
      <w:pPr>
        <w:spacing w:after="0" w:line="240" w:lineRule="auto"/>
        <w:ind w:left="567"/>
        <w:jc w:val="both"/>
        <w:rPr>
          <w:rFonts w:ascii="Times New Roman" w:hAnsi="Times New Roman"/>
          <w:sz w:val="28"/>
          <w:szCs w:val="28"/>
        </w:rPr>
      </w:pPr>
      <w:r w:rsidRPr="00160FDA">
        <w:rPr>
          <w:rFonts w:ascii="Times New Roman" w:hAnsi="Times New Roman"/>
          <w:b/>
          <w:sz w:val="28"/>
          <w:szCs w:val="28"/>
          <w:bdr w:val="none" w:sz="0" w:space="0" w:color="auto" w:frame="1"/>
          <w:shd w:val="clear" w:color="auto" w:fill="FFFFFF"/>
          <w:lang w:val="es-CO"/>
        </w:rPr>
        <w:t>TIPICIDAD-</w:t>
      </w:r>
      <w:r w:rsidRPr="00160FDA">
        <w:rPr>
          <w:rFonts w:ascii="Times New Roman" w:hAnsi="Times New Roman"/>
          <w:sz w:val="28"/>
          <w:szCs w:val="28"/>
          <w:bdr w:val="none" w:sz="0" w:space="0" w:color="auto" w:frame="1"/>
          <w:shd w:val="clear" w:color="auto" w:fill="FFFFFF"/>
          <w:lang w:val="es-CO"/>
        </w:rPr>
        <w:t>Concepto/</w:t>
      </w:r>
      <w:r w:rsidRPr="00160FDA">
        <w:rPr>
          <w:rFonts w:ascii="Times New Roman" w:hAnsi="Times New Roman"/>
          <w:b/>
          <w:sz w:val="28"/>
          <w:szCs w:val="28"/>
          <w:bdr w:val="none" w:sz="0" w:space="0" w:color="auto" w:frame="1"/>
          <w:shd w:val="clear" w:color="auto" w:fill="FFFFFF"/>
          <w:lang w:val="es-CO"/>
        </w:rPr>
        <w:t>PRINCIPIO DE TIPICIDAD-</w:t>
      </w:r>
      <w:r w:rsidRPr="00160FDA">
        <w:rPr>
          <w:rFonts w:ascii="Times New Roman" w:hAnsi="Times New Roman"/>
          <w:sz w:val="28"/>
          <w:szCs w:val="28"/>
          <w:bdr w:val="none" w:sz="0" w:space="0" w:color="auto" w:frame="1"/>
          <w:shd w:val="clear" w:color="auto" w:fill="FFFFFF"/>
          <w:lang w:val="es-CO"/>
        </w:rPr>
        <w:t>Elementos/</w:t>
      </w:r>
      <w:r w:rsidRPr="00160FDA">
        <w:rPr>
          <w:rFonts w:ascii="Times New Roman" w:hAnsi="Times New Roman"/>
          <w:b/>
          <w:sz w:val="28"/>
          <w:szCs w:val="28"/>
        </w:rPr>
        <w:t>PRINCIPIO DE TIPICIDAD-</w:t>
      </w:r>
      <w:r w:rsidRPr="00160FDA">
        <w:rPr>
          <w:rFonts w:ascii="Times New Roman" w:hAnsi="Times New Roman"/>
          <w:sz w:val="28"/>
          <w:szCs w:val="28"/>
        </w:rPr>
        <w:t>Límites</w:t>
      </w:r>
      <w:r w:rsidRPr="00160FDA">
        <w:rPr>
          <w:rFonts w:ascii="Times New Roman" w:hAnsi="Times New Roman"/>
          <w:b/>
          <w:sz w:val="28"/>
          <w:szCs w:val="28"/>
          <w:bdr w:val="none" w:sz="0" w:space="0" w:color="auto" w:frame="1"/>
          <w:shd w:val="clear" w:color="auto" w:fill="FFFFFF"/>
          <w:lang w:val="es-CO"/>
        </w:rPr>
        <w:t>/TIPO PENAL-</w:t>
      </w:r>
      <w:r w:rsidRPr="00160FDA">
        <w:rPr>
          <w:rFonts w:ascii="Times New Roman" w:hAnsi="Times New Roman"/>
          <w:sz w:val="28"/>
          <w:szCs w:val="28"/>
          <w:bdr w:val="none" w:sz="0" w:space="0" w:color="auto" w:frame="1"/>
          <w:shd w:val="clear" w:color="auto" w:fill="FFFFFF"/>
          <w:lang w:val="es-CO"/>
        </w:rPr>
        <w:t>Ingredientes normativos</w:t>
      </w:r>
      <w:r w:rsidRPr="00160FDA">
        <w:rPr>
          <w:rFonts w:ascii="Times New Roman" w:hAnsi="Times New Roman"/>
          <w:b/>
          <w:sz w:val="28"/>
          <w:szCs w:val="28"/>
          <w:bdr w:val="none" w:sz="0" w:space="0" w:color="auto" w:frame="1"/>
          <w:shd w:val="clear" w:color="auto" w:fill="FFFFFF"/>
          <w:lang w:val="es-CO"/>
        </w:rPr>
        <w:t>/DESCRIPCION DEL TIPO-</w:t>
      </w:r>
      <w:r w:rsidRPr="00160FDA">
        <w:rPr>
          <w:rFonts w:ascii="Times New Roman" w:hAnsi="Times New Roman"/>
          <w:sz w:val="28"/>
          <w:szCs w:val="28"/>
          <w:bdr w:val="none" w:sz="0" w:space="0" w:color="auto" w:frame="1"/>
          <w:shd w:val="clear" w:color="auto" w:fill="FFFFFF"/>
          <w:lang w:val="es-CO"/>
        </w:rPr>
        <w:t>Importancia/</w:t>
      </w:r>
      <w:r w:rsidRPr="00160FDA">
        <w:rPr>
          <w:rFonts w:ascii="Times New Roman" w:hAnsi="Times New Roman"/>
          <w:b/>
          <w:sz w:val="28"/>
          <w:szCs w:val="28"/>
          <w:bdr w:val="none" w:sz="0" w:space="0" w:color="auto" w:frame="1"/>
          <w:shd w:val="clear" w:color="auto" w:fill="FFFFFF"/>
          <w:lang w:val="es-CO"/>
        </w:rPr>
        <w:t>PRECISION Y CLARIDAD DE LA DESCRIPCION DEL HECHO PUNIBLE-</w:t>
      </w:r>
      <w:r w:rsidRPr="00160FDA">
        <w:rPr>
          <w:rFonts w:ascii="Times New Roman" w:hAnsi="Times New Roman"/>
          <w:sz w:val="28"/>
          <w:szCs w:val="28"/>
          <w:bdr w:val="none" w:sz="0" w:space="0" w:color="auto" w:frame="1"/>
          <w:shd w:val="clear" w:color="auto" w:fill="FFFFFF"/>
          <w:lang w:val="es-CO"/>
        </w:rPr>
        <w:t>Finalidad/</w:t>
      </w:r>
      <w:r w:rsidRPr="00160FDA">
        <w:rPr>
          <w:rFonts w:ascii="Times New Roman" w:hAnsi="Times New Roman"/>
          <w:b/>
          <w:sz w:val="28"/>
          <w:szCs w:val="28"/>
          <w:bdr w:val="none" w:sz="0" w:space="0" w:color="auto" w:frame="1"/>
          <w:shd w:val="clear" w:color="auto" w:fill="FFFFFF"/>
          <w:lang w:val="es-CO"/>
        </w:rPr>
        <w:t>TIPICIDAD-</w:t>
      </w:r>
      <w:r w:rsidRPr="00160FDA">
        <w:rPr>
          <w:rFonts w:ascii="Times New Roman" w:hAnsi="Times New Roman"/>
          <w:sz w:val="28"/>
          <w:szCs w:val="28"/>
          <w:bdr w:val="none" w:sz="0" w:space="0" w:color="auto" w:frame="1"/>
          <w:shd w:val="clear" w:color="auto" w:fill="FFFFFF"/>
          <w:lang w:val="es-CO"/>
        </w:rPr>
        <w:t xml:space="preserve">Consagración normativa de comportamientos humanos reprochables desde el punto de vista penal, a través de esquemas dogmáticos y las pautas de derecho positivo vigentes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bdr w:val="none" w:sz="0" w:space="0" w:color="auto" w:frame="1"/>
          <w:shd w:val="clear" w:color="auto" w:fill="FFFFFF"/>
          <w:lang w:val="es-CO"/>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shd w:val="clear" w:color="auto" w:fill="FFFFFF"/>
        </w:rPr>
      </w:pPr>
      <w:r w:rsidRPr="00160FDA">
        <w:rPr>
          <w:rFonts w:ascii="Times New Roman" w:hAnsi="Times New Roman"/>
          <w:b/>
          <w:sz w:val="28"/>
          <w:szCs w:val="28"/>
        </w:rPr>
        <w:t>PRINCIPIO DE LEGALIDAD-</w:t>
      </w:r>
      <w:r w:rsidRPr="00160FDA">
        <w:rPr>
          <w:rFonts w:ascii="Times New Roman" w:hAnsi="Times New Roman"/>
          <w:sz w:val="28"/>
          <w:szCs w:val="28"/>
        </w:rPr>
        <w:t>Pilar del Estado Social de Derecho/</w:t>
      </w:r>
      <w:r w:rsidRPr="00160FDA">
        <w:rPr>
          <w:rFonts w:ascii="Times New Roman" w:hAnsi="Times New Roman"/>
          <w:b/>
          <w:sz w:val="28"/>
          <w:szCs w:val="28"/>
        </w:rPr>
        <w:t>PRINCIPIO DE LEGALIDAD-</w:t>
      </w:r>
      <w:r w:rsidRPr="00160FDA">
        <w:rPr>
          <w:rFonts w:ascii="Times New Roman" w:hAnsi="Times New Roman"/>
          <w:sz w:val="28"/>
          <w:szCs w:val="28"/>
        </w:rPr>
        <w:t>Límites/</w:t>
      </w:r>
      <w:r w:rsidRPr="00160FDA">
        <w:rPr>
          <w:rFonts w:ascii="Times New Roman" w:hAnsi="Times New Roman"/>
          <w:b/>
          <w:sz w:val="28"/>
          <w:szCs w:val="28"/>
        </w:rPr>
        <w:t>TIPOS PENALES ABIERTOS Y TIPOS PENALES EN BLANCO-</w:t>
      </w:r>
      <w:r w:rsidRPr="00160FDA">
        <w:rPr>
          <w:rFonts w:ascii="Times New Roman" w:hAnsi="Times New Roman"/>
          <w:sz w:val="28"/>
          <w:szCs w:val="28"/>
        </w:rPr>
        <w:t>Grado de indeterminación en su descripción típica/</w:t>
      </w:r>
      <w:r w:rsidRPr="00160FDA">
        <w:rPr>
          <w:rFonts w:ascii="Times New Roman" w:hAnsi="Times New Roman"/>
          <w:b/>
          <w:sz w:val="28"/>
          <w:szCs w:val="28"/>
          <w:shd w:val="clear" w:color="auto" w:fill="FFFFFF"/>
        </w:rPr>
        <w:t>PROHIBICION DE DELITOS Y PENAS INDETERMINADOS-</w:t>
      </w:r>
      <w:r w:rsidRPr="00160FDA">
        <w:rPr>
          <w:rFonts w:ascii="Times New Roman" w:hAnsi="Times New Roman"/>
          <w:sz w:val="28"/>
          <w:szCs w:val="28"/>
          <w:shd w:val="clear" w:color="auto" w:fill="FFFFFF"/>
        </w:rPr>
        <w:t>Resulta particularmente relevante y controvertible frente a las modalidades de tipo penal abierto y tipo penal en blanco</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shd w:val="clear" w:color="auto" w:fill="FFFFFF"/>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shd w:val="clear" w:color="auto" w:fill="FFFFFF"/>
        </w:rPr>
      </w:pPr>
      <w:r w:rsidRPr="00160FDA">
        <w:rPr>
          <w:rFonts w:ascii="Times New Roman" w:hAnsi="Times New Roman"/>
          <w:b/>
          <w:sz w:val="28"/>
          <w:szCs w:val="28"/>
          <w:shd w:val="clear" w:color="auto" w:fill="FFFFFF"/>
        </w:rPr>
        <w:t>TIPO PENAL ABIERTO Y TIPO PENAL EN BLANCO-</w:t>
      </w:r>
      <w:r w:rsidRPr="00160FDA">
        <w:rPr>
          <w:rFonts w:ascii="Times New Roman" w:hAnsi="Times New Roman"/>
          <w:sz w:val="28"/>
          <w:szCs w:val="28"/>
          <w:shd w:val="clear" w:color="auto" w:fill="FFFFFF"/>
        </w:rPr>
        <w:t>Jurisprudencia constitucional</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shd w:val="clear" w:color="auto" w:fill="FFFFFF"/>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sz w:val="28"/>
          <w:szCs w:val="28"/>
          <w:shd w:val="clear" w:color="auto" w:fill="FFFFFF"/>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r w:rsidRPr="00160FDA">
        <w:rPr>
          <w:rFonts w:ascii="Times New Roman" w:hAnsi="Times New Roman"/>
          <w:b/>
          <w:sz w:val="28"/>
          <w:szCs w:val="28"/>
          <w:shd w:val="clear" w:color="auto" w:fill="FFFFFF"/>
        </w:rPr>
        <w:t>VIOLENCIA CONTRA LA MUJER</w:t>
      </w:r>
      <w:r w:rsidRPr="00160FDA">
        <w:rPr>
          <w:rFonts w:ascii="Times New Roman" w:hAnsi="Times New Roman"/>
          <w:b/>
          <w:sz w:val="28"/>
          <w:szCs w:val="28"/>
        </w:rPr>
        <w:t>-</w:t>
      </w:r>
      <w:r w:rsidRPr="00160FDA">
        <w:rPr>
          <w:rFonts w:ascii="Times New Roman" w:hAnsi="Times New Roman"/>
          <w:sz w:val="28"/>
          <w:szCs w:val="28"/>
        </w:rPr>
        <w:t xml:space="preserve">Se fundamenta en prejuicios y estereotipos de género </w:t>
      </w:r>
    </w:p>
    <w:p w:rsidR="00B410A9" w:rsidRPr="00160FDA" w:rsidRDefault="00B410A9" w:rsidP="00B410A9">
      <w:pPr>
        <w:shd w:val="clear" w:color="auto" w:fill="FFFFFF"/>
        <w:spacing w:after="0" w:line="240" w:lineRule="auto"/>
        <w:ind w:left="708" w:right="140" w:hanging="141"/>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left="708" w:right="140" w:hanging="141"/>
        <w:jc w:val="both"/>
        <w:textAlignment w:val="baseline"/>
        <w:rPr>
          <w:rFonts w:ascii="Times New Roman" w:hAnsi="Times New Roman"/>
          <w:sz w:val="28"/>
          <w:szCs w:val="28"/>
        </w:rPr>
      </w:pPr>
      <w:r w:rsidRPr="00160FDA">
        <w:rPr>
          <w:rFonts w:ascii="Times New Roman" w:hAnsi="Times New Roman"/>
          <w:b/>
          <w:sz w:val="28"/>
          <w:szCs w:val="28"/>
        </w:rPr>
        <w:t>VIOLENCIA DE GENERO-</w:t>
      </w:r>
      <w:r w:rsidRPr="00160FDA">
        <w:rPr>
          <w:rFonts w:ascii="Times New Roman" w:hAnsi="Times New Roman"/>
          <w:sz w:val="28"/>
          <w:szCs w:val="28"/>
        </w:rPr>
        <w:t xml:space="preserve">Jurisprudencia constitucional </w:t>
      </w:r>
    </w:p>
    <w:p w:rsidR="00B410A9" w:rsidRPr="00160FDA" w:rsidRDefault="00B410A9" w:rsidP="00B410A9">
      <w:pPr>
        <w:shd w:val="clear" w:color="auto" w:fill="FFFFFF"/>
        <w:spacing w:after="0" w:line="240" w:lineRule="auto"/>
        <w:ind w:left="708" w:right="140" w:hanging="141"/>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left="708" w:right="140" w:hanging="141"/>
        <w:jc w:val="both"/>
        <w:textAlignment w:val="baseline"/>
        <w:rPr>
          <w:rFonts w:ascii="Times New Roman" w:hAnsi="Times New Roman"/>
          <w:sz w:val="28"/>
          <w:szCs w:val="28"/>
        </w:rPr>
      </w:pPr>
      <w:r w:rsidRPr="00160FDA">
        <w:rPr>
          <w:rFonts w:ascii="Times New Roman" w:hAnsi="Times New Roman"/>
          <w:b/>
          <w:sz w:val="28"/>
          <w:szCs w:val="28"/>
        </w:rPr>
        <w:t>VIOLENCIA DE GENERO-</w:t>
      </w:r>
      <w:r w:rsidRPr="00160FDA">
        <w:rPr>
          <w:rFonts w:ascii="Times New Roman" w:hAnsi="Times New Roman"/>
          <w:sz w:val="28"/>
          <w:szCs w:val="28"/>
        </w:rPr>
        <w:t>Concepto</w:t>
      </w:r>
    </w:p>
    <w:p w:rsidR="00B410A9" w:rsidRPr="00160FDA" w:rsidRDefault="00B410A9" w:rsidP="00B410A9">
      <w:pPr>
        <w:shd w:val="clear" w:color="auto" w:fill="FFFFFF"/>
        <w:spacing w:after="0" w:line="240" w:lineRule="auto"/>
        <w:ind w:left="708" w:right="140" w:hanging="141"/>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r w:rsidRPr="00160FDA">
        <w:rPr>
          <w:rFonts w:ascii="Times New Roman" w:hAnsi="Times New Roman"/>
          <w:b/>
          <w:sz w:val="28"/>
          <w:szCs w:val="28"/>
        </w:rPr>
        <w:t>DERECHO FUNDAMENTAL PARA LAS MUJERES A ESTAR LIBRES DE VIOLENCIA-</w:t>
      </w:r>
      <w:r w:rsidRPr="00160FDA">
        <w:rPr>
          <w:rFonts w:ascii="Times New Roman" w:hAnsi="Times New Roman"/>
          <w:sz w:val="28"/>
          <w:szCs w:val="28"/>
        </w:rPr>
        <w:t xml:space="preserve">Deberes del Estado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r w:rsidRPr="00160FDA">
        <w:rPr>
          <w:rFonts w:ascii="Times New Roman" w:hAnsi="Times New Roman"/>
          <w:b/>
          <w:sz w:val="28"/>
          <w:szCs w:val="28"/>
        </w:rPr>
        <w:t>OBLIGACION DE GARANTIZAR EL DERECHO DE LAS MUJERES A ESTAR LIBRES DE VIOLENCIA-</w:t>
      </w:r>
      <w:r w:rsidRPr="00160FDA">
        <w:rPr>
          <w:rFonts w:ascii="Times New Roman" w:hAnsi="Times New Roman"/>
          <w:sz w:val="28"/>
          <w:szCs w:val="28"/>
        </w:rPr>
        <w:t xml:space="preserve">Fuentes en el derecho internacional de los derechos humanos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right="140"/>
        <w:jc w:val="both"/>
        <w:textAlignment w:val="baseline"/>
        <w:rPr>
          <w:rFonts w:ascii="Times New Roman" w:hAnsi="Times New Roman"/>
          <w:i/>
          <w:sz w:val="28"/>
          <w:szCs w:val="28"/>
          <w:lang w:val="es-CO"/>
        </w:rPr>
      </w:pPr>
      <w:r w:rsidRPr="00160FDA">
        <w:rPr>
          <w:rFonts w:ascii="Times New Roman" w:hAnsi="Times New Roman"/>
          <w:i/>
          <w:sz w:val="28"/>
          <w:szCs w:val="28"/>
          <w:lang w:val="es-CO"/>
        </w:rPr>
        <w:t>En el derecho internacional de los derechos humanos, la obligación de garantizar el derecho de las mujeres a estar libres de violencia tiene dos fuentes. De un lado, surge de la lectura sistemática de las disposiciones neutras que proscriben la violencia y reconocen los deberes de protección a la vida, la seguridad personal, la integridad, la honra, la salud y la dignidad de las personas, entre otros, con aquellas normas que establecen: (i) el derecho a la igualdad en el reconocimiento y protección de esos derechos; y (ii) la prohibición de discriminación por razón del sexo, pues imponen un deber de protección especial por razón al género. De otro lado, surge de las disposiciones que explícitamente consagran protecciones y deberes alrededor de la erradicación de la discriminación contra de la mujer y de la prevención, investigación y sanción de la violencia contra ésta.</w:t>
      </w:r>
    </w:p>
    <w:p w:rsidR="00B410A9" w:rsidRPr="00160FDA" w:rsidRDefault="00B410A9" w:rsidP="00B410A9">
      <w:pPr>
        <w:shd w:val="clear" w:color="auto" w:fill="FFFFFF"/>
        <w:spacing w:after="0" w:line="240" w:lineRule="auto"/>
        <w:ind w:right="140"/>
        <w:jc w:val="both"/>
        <w:textAlignment w:val="baseline"/>
        <w:rPr>
          <w:rFonts w:ascii="Times New Roman" w:hAnsi="Times New Roman"/>
          <w:i/>
          <w:sz w:val="28"/>
          <w:szCs w:val="28"/>
          <w:lang w:val="es-CO"/>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r w:rsidRPr="00160FDA">
        <w:rPr>
          <w:rFonts w:ascii="Times New Roman" w:hAnsi="Times New Roman"/>
          <w:b/>
          <w:sz w:val="28"/>
          <w:szCs w:val="28"/>
        </w:rPr>
        <w:t>CONVENCION INTERAMERICANA PARA PREVENIR LA VIOLENCIA CONTRA LA MUJER-</w:t>
      </w:r>
      <w:r w:rsidRPr="00160FDA">
        <w:rPr>
          <w:rFonts w:ascii="Times New Roman" w:hAnsi="Times New Roman"/>
          <w:sz w:val="28"/>
          <w:szCs w:val="28"/>
        </w:rPr>
        <w:t xml:space="preserve">Contenido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r w:rsidRPr="00160FDA">
        <w:rPr>
          <w:rFonts w:ascii="Times New Roman" w:hAnsi="Times New Roman"/>
          <w:b/>
          <w:sz w:val="28"/>
          <w:szCs w:val="28"/>
        </w:rPr>
        <w:t>CONVENCION PARA LA ELIMINACION DE TODAS LAS FORMAS DE DISCRIMINACION CONTRA LA MUJER-</w:t>
      </w:r>
      <w:r w:rsidRPr="00160FDA">
        <w:rPr>
          <w:rFonts w:ascii="Times New Roman" w:hAnsi="Times New Roman"/>
          <w:sz w:val="28"/>
          <w:szCs w:val="28"/>
        </w:rPr>
        <w:t xml:space="preserve">Contenido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r w:rsidRPr="00160FDA">
        <w:rPr>
          <w:rFonts w:ascii="Times New Roman" w:hAnsi="Times New Roman"/>
          <w:b/>
          <w:sz w:val="28"/>
          <w:szCs w:val="28"/>
        </w:rPr>
        <w:lastRenderedPageBreak/>
        <w:t>DECLARACION SOBRE ELIMINACION DE LA VIOLENCIA CONTRA LA MUJER DE NACIONES UNIDAS-</w:t>
      </w:r>
      <w:r w:rsidRPr="00160FDA">
        <w:rPr>
          <w:rFonts w:ascii="Times New Roman" w:hAnsi="Times New Roman"/>
          <w:sz w:val="28"/>
          <w:szCs w:val="28"/>
        </w:rPr>
        <w:t xml:space="preserve">Deber de diligencia para erradicación, prevención, investigación y sanción de la violencia contra las mujeres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r w:rsidRPr="00160FDA">
        <w:rPr>
          <w:rFonts w:ascii="Times New Roman" w:hAnsi="Times New Roman"/>
          <w:b/>
          <w:sz w:val="28"/>
          <w:szCs w:val="28"/>
        </w:rPr>
        <w:t>CONVENCION SOBRE LOS DERECHOS DEL NIÑO-</w:t>
      </w:r>
      <w:r w:rsidRPr="00160FDA">
        <w:rPr>
          <w:rFonts w:ascii="Times New Roman" w:hAnsi="Times New Roman"/>
          <w:sz w:val="28"/>
          <w:szCs w:val="28"/>
        </w:rPr>
        <w:t>Proscripción de todo tipo de violencia contra niños y niñas e impone la obligación de adoptar todas las medidas legislativas, administrativas, educativas y sociales para protegerlos de cualquier tipo de violencia o abuso</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sz w:val="28"/>
          <w:szCs w:val="28"/>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r w:rsidRPr="00160FDA">
        <w:rPr>
          <w:rFonts w:ascii="Times New Roman" w:hAnsi="Times New Roman"/>
          <w:b/>
          <w:sz w:val="28"/>
          <w:szCs w:val="28"/>
        </w:rPr>
        <w:t>MUJERES VICTIMAS DE LA VIOLENCIA-</w:t>
      </w:r>
      <w:r w:rsidRPr="00160FDA">
        <w:rPr>
          <w:rFonts w:ascii="Times New Roman" w:hAnsi="Times New Roman"/>
          <w:sz w:val="28"/>
          <w:szCs w:val="28"/>
        </w:rPr>
        <w:t xml:space="preserve">Protección especial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r w:rsidRPr="00160FDA">
        <w:rPr>
          <w:rFonts w:ascii="Times New Roman" w:hAnsi="Times New Roman"/>
          <w:b/>
          <w:sz w:val="28"/>
          <w:szCs w:val="28"/>
        </w:rPr>
        <w:t>MUJERES VICTIMAS DE LA VIOLENCIA-</w:t>
      </w:r>
      <w:r w:rsidRPr="00160FDA">
        <w:rPr>
          <w:rFonts w:ascii="Times New Roman" w:hAnsi="Times New Roman"/>
          <w:sz w:val="28"/>
          <w:szCs w:val="28"/>
        </w:rPr>
        <w:t>Medidas de sanción social en el ámbito de discriminación</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r w:rsidRPr="00160FDA">
        <w:rPr>
          <w:rFonts w:ascii="Times New Roman" w:hAnsi="Times New Roman"/>
          <w:b/>
          <w:sz w:val="28"/>
          <w:szCs w:val="28"/>
        </w:rPr>
        <w:t>MUJERES EN EL CONTEXTO DEL CONFLICTO ARMADO-</w:t>
      </w:r>
      <w:r w:rsidRPr="00160FDA">
        <w:rPr>
          <w:rFonts w:ascii="Times New Roman" w:hAnsi="Times New Roman"/>
          <w:sz w:val="28"/>
          <w:szCs w:val="28"/>
        </w:rPr>
        <w:t>Riesgo desproporcionado de violencia, abuso y esclavitud sexual</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r w:rsidRPr="00160FDA">
        <w:rPr>
          <w:rFonts w:ascii="Times New Roman" w:hAnsi="Times New Roman"/>
          <w:b/>
          <w:sz w:val="28"/>
          <w:szCs w:val="28"/>
        </w:rPr>
        <w:t>VIOLENCIA DE GENERO-</w:t>
      </w:r>
      <w:r w:rsidRPr="00160FDA">
        <w:rPr>
          <w:rFonts w:ascii="Times New Roman" w:hAnsi="Times New Roman"/>
          <w:sz w:val="28"/>
          <w:szCs w:val="28"/>
        </w:rPr>
        <w:t xml:space="preserve">Fenómeno social vigente que se fundamenta en la discriminación de la mujer y tiene serias consecuencias para el goce de sus derechos fundamentales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sz w:val="28"/>
          <w:szCs w:val="28"/>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sz w:val="28"/>
          <w:szCs w:val="28"/>
        </w:rPr>
      </w:pPr>
      <w:r w:rsidRPr="00160FDA">
        <w:rPr>
          <w:rFonts w:ascii="Times New Roman" w:hAnsi="Times New Roman"/>
          <w:b/>
          <w:sz w:val="28"/>
          <w:szCs w:val="28"/>
        </w:rPr>
        <w:t>DERECHO FUNDAMENTAL DE LAS MUJERES A ESTAR LIBRES DE LA VIOLENCIA-</w:t>
      </w:r>
      <w:r w:rsidRPr="00160FDA">
        <w:rPr>
          <w:rFonts w:ascii="Times New Roman" w:hAnsi="Times New Roman"/>
          <w:sz w:val="28"/>
          <w:szCs w:val="28"/>
        </w:rPr>
        <w:t>Deberes del Estado para su protección y atender de forma integral a sus sobrevivientes/</w:t>
      </w:r>
      <w:r w:rsidRPr="00160FDA">
        <w:rPr>
          <w:rFonts w:ascii="Times New Roman" w:hAnsi="Times New Roman"/>
          <w:b/>
          <w:sz w:val="28"/>
          <w:szCs w:val="28"/>
        </w:rPr>
        <w:t>ACCIONES AFIRMATIVAS PARA PROTEGER A LAS MUJERES DE RIESGOS Y AMENAZAS DESPROPORCIONADAS DE VIOLENCIA EN EL CONTEXTO DEL CONFLICTO ARMADO-</w:t>
      </w:r>
      <w:r w:rsidRPr="00160FDA">
        <w:rPr>
          <w:rFonts w:ascii="Times New Roman" w:hAnsi="Times New Roman"/>
          <w:sz w:val="28"/>
          <w:szCs w:val="28"/>
        </w:rPr>
        <w:t>Jurisprudencia constitucional</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bCs/>
          <w:sz w:val="28"/>
          <w:szCs w:val="28"/>
          <w:lang w:val="es-ES_tradnl" w:eastAsia="es-ES"/>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sz w:val="28"/>
          <w:szCs w:val="28"/>
        </w:rPr>
      </w:pPr>
      <w:r w:rsidRPr="00160FDA">
        <w:rPr>
          <w:rFonts w:ascii="Times New Roman" w:hAnsi="Times New Roman"/>
          <w:b/>
          <w:bCs/>
          <w:sz w:val="28"/>
          <w:szCs w:val="28"/>
          <w:lang w:val="es-ES_tradnl" w:eastAsia="es-ES"/>
        </w:rPr>
        <w:t>DELITO DE FEMINICIDIO-</w:t>
      </w:r>
      <w:r w:rsidRPr="00160FDA">
        <w:rPr>
          <w:rFonts w:ascii="Times New Roman" w:hAnsi="Times New Roman"/>
          <w:bCs/>
          <w:sz w:val="28"/>
          <w:szCs w:val="28"/>
          <w:lang w:val="es-ES_tradnl" w:eastAsia="es-ES"/>
        </w:rPr>
        <w:t xml:space="preserve">Violencia de género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bCs/>
          <w:sz w:val="28"/>
          <w:szCs w:val="28"/>
          <w:lang w:val="es-ES_tradnl" w:eastAsia="es-ES"/>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sz w:val="28"/>
          <w:szCs w:val="28"/>
        </w:rPr>
      </w:pPr>
      <w:r w:rsidRPr="00160FDA">
        <w:rPr>
          <w:rFonts w:ascii="Times New Roman" w:hAnsi="Times New Roman"/>
          <w:b/>
          <w:bCs/>
          <w:sz w:val="28"/>
          <w:szCs w:val="28"/>
          <w:lang w:val="es-ES_tradnl" w:eastAsia="es-ES"/>
        </w:rPr>
        <w:t>FEMINICIDIO-</w:t>
      </w:r>
      <w:r w:rsidRPr="00160FDA">
        <w:rPr>
          <w:rFonts w:ascii="Times New Roman" w:hAnsi="Times New Roman"/>
          <w:bCs/>
          <w:sz w:val="28"/>
          <w:szCs w:val="28"/>
          <w:lang w:val="es-ES_tradnl" w:eastAsia="es-ES"/>
        </w:rPr>
        <w:t xml:space="preserve">Como tipo penal responde a la penalización autónoma del homicidio de mujer en razón a su género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bCs/>
          <w:sz w:val="28"/>
          <w:szCs w:val="28"/>
          <w:lang w:val="es-ES_tradnl" w:eastAsia="es-ES"/>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sz w:val="28"/>
          <w:szCs w:val="28"/>
        </w:rPr>
      </w:pPr>
      <w:r w:rsidRPr="00160FDA">
        <w:rPr>
          <w:rFonts w:ascii="Times New Roman" w:hAnsi="Times New Roman"/>
          <w:b/>
          <w:bCs/>
          <w:sz w:val="28"/>
          <w:szCs w:val="28"/>
          <w:lang w:val="es-ES_tradnl" w:eastAsia="es-ES"/>
        </w:rPr>
        <w:t>TIPIFICACION DE FEMINICIDIO-</w:t>
      </w:r>
      <w:r w:rsidRPr="00160FDA">
        <w:rPr>
          <w:rFonts w:ascii="Times New Roman" w:hAnsi="Times New Roman"/>
          <w:bCs/>
          <w:sz w:val="28"/>
          <w:szCs w:val="28"/>
          <w:lang w:val="es-ES_tradnl" w:eastAsia="es-ES"/>
        </w:rPr>
        <w:t xml:space="preserve">Derecho comparado </w:t>
      </w: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bCs/>
          <w:sz w:val="28"/>
          <w:szCs w:val="28"/>
          <w:lang w:val="es-ES_tradnl" w:eastAsia="es-ES"/>
        </w:rPr>
      </w:pPr>
    </w:p>
    <w:p w:rsidR="00B410A9" w:rsidRPr="00160FDA" w:rsidRDefault="00B410A9" w:rsidP="00B410A9">
      <w:pPr>
        <w:shd w:val="clear" w:color="auto" w:fill="FFFFFF"/>
        <w:spacing w:after="0" w:line="240" w:lineRule="auto"/>
        <w:ind w:left="567" w:right="140"/>
        <w:jc w:val="both"/>
        <w:textAlignment w:val="baseline"/>
        <w:rPr>
          <w:rFonts w:ascii="Times New Roman" w:hAnsi="Times New Roman"/>
          <w:b/>
          <w:sz w:val="28"/>
          <w:szCs w:val="28"/>
        </w:rPr>
      </w:pPr>
      <w:r w:rsidRPr="00160FDA">
        <w:rPr>
          <w:rFonts w:ascii="Times New Roman" w:hAnsi="Times New Roman"/>
          <w:b/>
          <w:bCs/>
          <w:sz w:val="28"/>
          <w:szCs w:val="28"/>
          <w:lang w:val="es-ES_tradnl" w:eastAsia="es-ES"/>
        </w:rPr>
        <w:t>PRINCIPIO DE LEGALIDAD EN SENTIDO ESTRICTO-</w:t>
      </w:r>
      <w:r w:rsidRPr="00160FDA">
        <w:rPr>
          <w:rFonts w:ascii="Times New Roman" w:hAnsi="Times New Roman"/>
          <w:bCs/>
          <w:sz w:val="28"/>
          <w:szCs w:val="28"/>
          <w:lang w:val="es-ES_tradnl" w:eastAsia="es-ES"/>
        </w:rPr>
        <w:t>Elementos</w:t>
      </w:r>
      <w:r w:rsidRPr="00160FDA">
        <w:rPr>
          <w:rFonts w:ascii="Times New Roman" w:hAnsi="Times New Roman"/>
          <w:b/>
          <w:bCs/>
          <w:sz w:val="28"/>
          <w:szCs w:val="28"/>
          <w:lang w:val="es-ES_tradnl" w:eastAsia="es-ES"/>
        </w:rPr>
        <w:t>/PRINCIPIO DE LEGALIDAD EN SENTIDO ESTRICTO-</w:t>
      </w:r>
      <w:r w:rsidRPr="00160FDA">
        <w:rPr>
          <w:rFonts w:ascii="Times New Roman" w:hAnsi="Times New Roman"/>
          <w:bCs/>
          <w:sz w:val="28"/>
          <w:szCs w:val="28"/>
          <w:lang w:val="es-ES_tradnl" w:eastAsia="es-ES"/>
        </w:rPr>
        <w:t>Requiere que las conductas y las sanciones que configuran el tipo penal sean determinadas de forma precisa e inequívoca pero la jurisprudencia ha admitido cierto grado de indeterminación en los preceptos que configuran el delito</w:t>
      </w:r>
    </w:p>
    <w:p w:rsidR="00B410A9" w:rsidRPr="00160FDA" w:rsidRDefault="00B410A9" w:rsidP="00B410A9">
      <w:pPr>
        <w:keepNext/>
        <w:overflowPunct w:val="0"/>
        <w:autoSpaceDE w:val="0"/>
        <w:autoSpaceDN w:val="0"/>
        <w:spacing w:after="0" w:line="240" w:lineRule="auto"/>
        <w:ind w:left="567" w:right="51"/>
        <w:jc w:val="both"/>
        <w:outlineLvl w:val="7"/>
        <w:rPr>
          <w:rFonts w:ascii="Times New Roman" w:hAnsi="Times New Roman"/>
          <w:bCs/>
          <w:sz w:val="28"/>
          <w:szCs w:val="28"/>
          <w:lang w:val="es-ES_tradnl" w:eastAsia="es-ES"/>
        </w:rPr>
      </w:pPr>
    </w:p>
    <w:p w:rsidR="00B410A9" w:rsidRPr="00160FDA" w:rsidRDefault="00B410A9" w:rsidP="00B410A9">
      <w:pPr>
        <w:spacing w:after="0" w:line="240" w:lineRule="auto"/>
        <w:jc w:val="both"/>
        <w:rPr>
          <w:rFonts w:ascii="Times New Roman" w:hAnsi="Times New Roman"/>
          <w:i/>
          <w:sz w:val="28"/>
          <w:szCs w:val="28"/>
        </w:rPr>
      </w:pPr>
      <w:r w:rsidRPr="00160FDA">
        <w:rPr>
          <w:rFonts w:ascii="Times New Roman" w:hAnsi="Times New Roman"/>
          <w:i/>
          <w:sz w:val="28"/>
          <w:szCs w:val="28"/>
        </w:rPr>
        <w:t xml:space="preserve">El principio de legalidad en sentido estricto, es decir, el principio de tipicidad o taxatividad, requiere que las conductas y las sanciones que configuran el tipo penal sean determinadas de forma precisa e inequívoca. No obstante, la </w:t>
      </w:r>
      <w:r w:rsidRPr="00160FDA">
        <w:rPr>
          <w:rFonts w:ascii="Times New Roman" w:hAnsi="Times New Roman"/>
          <w:i/>
          <w:sz w:val="28"/>
          <w:szCs w:val="28"/>
        </w:rPr>
        <w:lastRenderedPageBreak/>
        <w:t>jurisprudencia ha admitido cierto grado de indeterminación en los preceptos que configuran el delito cuando la naturaleza del mismo no permita agotar de forma exhaustiva la descripción de la conducta pero se encuentran los elementos básicos para delimitar la prohibición, o es determinable mediante la remisión a otras normas. A su vez, dicha indeterminación no puede ser de tal grado que no sea posible comprender cuál es el comportamiento sancionado, lo cual se verifica cuando mediante un ejercicio de actividad interpretativa ordinaria se puede precisar el alcance de la prohibición o cuando existe un referente especializado que precisa los parámetros específicos de su contenido y alcance.</w:t>
      </w:r>
    </w:p>
    <w:p w:rsidR="00B410A9" w:rsidRPr="00160FDA" w:rsidRDefault="00B410A9" w:rsidP="00B410A9">
      <w:pPr>
        <w:spacing w:after="0" w:line="240" w:lineRule="auto"/>
        <w:jc w:val="both"/>
        <w:rPr>
          <w:rFonts w:ascii="Times New Roman" w:hAnsi="Times New Roman"/>
          <w:i/>
          <w:sz w:val="28"/>
          <w:szCs w:val="28"/>
        </w:rPr>
      </w:pPr>
    </w:p>
    <w:p w:rsidR="00B410A9" w:rsidRPr="00160FDA" w:rsidRDefault="00B410A9" w:rsidP="00B410A9">
      <w:pPr>
        <w:spacing w:after="0" w:line="240" w:lineRule="auto"/>
        <w:ind w:left="567"/>
        <w:jc w:val="both"/>
        <w:rPr>
          <w:rFonts w:ascii="Times New Roman" w:hAnsi="Times New Roman"/>
          <w:sz w:val="28"/>
          <w:szCs w:val="28"/>
        </w:rPr>
      </w:pPr>
      <w:r w:rsidRPr="00160FDA">
        <w:rPr>
          <w:rFonts w:ascii="Times New Roman" w:hAnsi="Times New Roman"/>
          <w:b/>
          <w:sz w:val="28"/>
          <w:szCs w:val="28"/>
        </w:rPr>
        <w:t>FEMINICIDIO-</w:t>
      </w:r>
      <w:r w:rsidRPr="00160FDA">
        <w:rPr>
          <w:rFonts w:ascii="Times New Roman" w:hAnsi="Times New Roman"/>
          <w:sz w:val="28"/>
          <w:szCs w:val="28"/>
        </w:rPr>
        <w:t>Elementos en la descripción del tipo/</w:t>
      </w:r>
      <w:r w:rsidRPr="00160FDA">
        <w:rPr>
          <w:rFonts w:ascii="Times New Roman" w:hAnsi="Times New Roman"/>
          <w:b/>
          <w:sz w:val="28"/>
          <w:szCs w:val="28"/>
        </w:rPr>
        <w:t>FEMINICIDIO-</w:t>
      </w:r>
      <w:r w:rsidRPr="00160FDA">
        <w:rPr>
          <w:rFonts w:ascii="Times New Roman" w:hAnsi="Times New Roman"/>
          <w:sz w:val="28"/>
          <w:szCs w:val="28"/>
        </w:rPr>
        <w:t>Adecuación típica de la conducta debe abordarse a la luz del móvil, como el elemento transversal que lleva consigo el análisis de la violencia o discriminación de género, en cualquiera de sus formas que puede escapar a dichas circunstancias/</w:t>
      </w:r>
      <w:r w:rsidRPr="00160FDA">
        <w:rPr>
          <w:rFonts w:ascii="Times New Roman" w:hAnsi="Times New Roman"/>
          <w:b/>
          <w:bCs/>
          <w:sz w:val="28"/>
          <w:szCs w:val="28"/>
          <w:lang w:val="es-ES_tradnl" w:eastAsia="es-ES"/>
        </w:rPr>
        <w:t>TIPIFICACION DEL FEMINICIDIO-</w:t>
      </w:r>
      <w:r w:rsidRPr="00160FDA">
        <w:rPr>
          <w:rFonts w:ascii="Times New Roman" w:hAnsi="Times New Roman"/>
          <w:bCs/>
          <w:sz w:val="28"/>
          <w:szCs w:val="28"/>
          <w:lang w:val="es-ES_tradnl" w:eastAsia="es-ES"/>
        </w:rPr>
        <w:t>Obligación que impone el deber de debida diligencia en la investigación y sanción de la violencia contra la mujer</w:t>
      </w:r>
      <w:r w:rsidRPr="00160FDA">
        <w:rPr>
          <w:rFonts w:ascii="Times New Roman" w:hAnsi="Times New Roman"/>
          <w:sz w:val="28"/>
          <w:szCs w:val="28"/>
        </w:rPr>
        <w:t xml:space="preserve"> </w:t>
      </w:r>
    </w:p>
    <w:p w:rsidR="00B410A9" w:rsidRPr="00160FDA" w:rsidRDefault="00B410A9" w:rsidP="00B410A9">
      <w:pPr>
        <w:spacing w:after="0" w:line="240" w:lineRule="auto"/>
        <w:ind w:left="567"/>
        <w:jc w:val="both"/>
        <w:rPr>
          <w:rFonts w:ascii="Times New Roman" w:hAnsi="Times New Roman"/>
          <w:sz w:val="28"/>
          <w:szCs w:val="28"/>
        </w:rPr>
      </w:pPr>
    </w:p>
    <w:p w:rsidR="00B410A9" w:rsidRPr="00160FDA" w:rsidRDefault="00B410A9" w:rsidP="00B410A9">
      <w:pPr>
        <w:spacing w:after="0" w:line="240" w:lineRule="auto"/>
        <w:ind w:left="567"/>
        <w:jc w:val="both"/>
        <w:rPr>
          <w:rFonts w:ascii="Times New Roman" w:hAnsi="Times New Roman"/>
          <w:sz w:val="28"/>
          <w:szCs w:val="28"/>
        </w:rPr>
      </w:pPr>
      <w:r w:rsidRPr="00160FDA">
        <w:rPr>
          <w:rFonts w:ascii="Times New Roman" w:hAnsi="Times New Roman"/>
          <w:b/>
          <w:bCs/>
          <w:sz w:val="28"/>
          <w:szCs w:val="28"/>
          <w:lang w:val="es-ES_tradnl" w:eastAsia="es-ES"/>
        </w:rPr>
        <w:t>TIPIFICACION DEL FEMINICIDIO-</w:t>
      </w:r>
      <w:r w:rsidRPr="00160FDA">
        <w:rPr>
          <w:rFonts w:ascii="Times New Roman" w:hAnsi="Times New Roman"/>
          <w:bCs/>
          <w:sz w:val="28"/>
          <w:szCs w:val="28"/>
          <w:lang w:val="es-ES_tradnl" w:eastAsia="es-ES"/>
        </w:rPr>
        <w:t>No toda violencia contra la mujer es violencia de género y aun cuando se trate de violencia de género, no todas las acciones previas a un hecho generan una cadena de violencia que cree un patrón de discriminación que demuestre la intención de matar por razones de género</w:t>
      </w:r>
    </w:p>
    <w:p w:rsidR="00B410A9" w:rsidRPr="00160FDA" w:rsidRDefault="00B410A9" w:rsidP="00B410A9">
      <w:pPr>
        <w:spacing w:after="0" w:line="240" w:lineRule="auto"/>
        <w:ind w:left="567"/>
        <w:jc w:val="both"/>
        <w:rPr>
          <w:rFonts w:ascii="Times New Roman" w:hAnsi="Times New Roman"/>
          <w:sz w:val="28"/>
          <w:szCs w:val="28"/>
        </w:rPr>
      </w:pPr>
    </w:p>
    <w:p w:rsidR="00B410A9" w:rsidRPr="00160FDA" w:rsidRDefault="00B410A9" w:rsidP="00B410A9">
      <w:pPr>
        <w:spacing w:after="0" w:line="240" w:lineRule="auto"/>
        <w:ind w:left="567"/>
        <w:jc w:val="both"/>
        <w:rPr>
          <w:rFonts w:ascii="Times New Roman" w:hAnsi="Times New Roman"/>
          <w:sz w:val="28"/>
          <w:szCs w:val="28"/>
        </w:rPr>
      </w:pPr>
      <w:r w:rsidRPr="00160FDA">
        <w:rPr>
          <w:rFonts w:ascii="Times New Roman" w:hAnsi="Times New Roman"/>
          <w:b/>
          <w:sz w:val="28"/>
          <w:szCs w:val="28"/>
        </w:rPr>
        <w:t>DELITO DE FEMINICIDIO-</w:t>
      </w:r>
      <w:r w:rsidRPr="00160FDA">
        <w:rPr>
          <w:rFonts w:ascii="Times New Roman" w:hAnsi="Times New Roman"/>
          <w:sz w:val="28"/>
          <w:szCs w:val="28"/>
        </w:rPr>
        <w:t>Elemento subjetivo del tipo debe ser probado a partir de criterios que demuestren que efectivamente existió una intención de matar por razón de género</w:t>
      </w:r>
    </w:p>
    <w:p w:rsidR="00B410A9" w:rsidRPr="00160FDA" w:rsidRDefault="00B410A9" w:rsidP="00B410A9">
      <w:pPr>
        <w:spacing w:after="0" w:line="240" w:lineRule="auto"/>
        <w:ind w:left="567"/>
        <w:jc w:val="both"/>
        <w:rPr>
          <w:rFonts w:ascii="Times New Roman" w:hAnsi="Times New Roman"/>
          <w:sz w:val="28"/>
          <w:szCs w:val="28"/>
        </w:rPr>
      </w:pPr>
    </w:p>
    <w:p w:rsidR="00B410A9" w:rsidRPr="00160FDA" w:rsidRDefault="00B410A9" w:rsidP="00B410A9">
      <w:pPr>
        <w:spacing w:after="0" w:line="240" w:lineRule="auto"/>
        <w:ind w:left="567"/>
        <w:jc w:val="both"/>
        <w:rPr>
          <w:rFonts w:ascii="Times New Roman" w:hAnsi="Times New Roman"/>
          <w:b/>
          <w:sz w:val="28"/>
          <w:szCs w:val="28"/>
        </w:rPr>
      </w:pPr>
      <w:r w:rsidRPr="00160FDA">
        <w:rPr>
          <w:rFonts w:ascii="Times New Roman" w:hAnsi="Times New Roman"/>
          <w:b/>
          <w:sz w:val="28"/>
          <w:szCs w:val="28"/>
        </w:rPr>
        <w:t xml:space="preserve">VIOLENCIA </w:t>
      </w:r>
      <w:r w:rsidR="000351A0">
        <w:rPr>
          <w:rFonts w:ascii="Times New Roman" w:hAnsi="Times New Roman"/>
          <w:b/>
          <w:sz w:val="28"/>
          <w:szCs w:val="28"/>
        </w:rPr>
        <w:t xml:space="preserve">CONTRA </w:t>
      </w:r>
      <w:r w:rsidRPr="00160FDA">
        <w:rPr>
          <w:rFonts w:ascii="Times New Roman" w:hAnsi="Times New Roman"/>
          <w:b/>
          <w:sz w:val="28"/>
          <w:szCs w:val="28"/>
        </w:rPr>
        <w:t>LA MUJER EN LA CONVENCION BELEM DO PARÁ-</w:t>
      </w:r>
      <w:r w:rsidRPr="00160FDA">
        <w:rPr>
          <w:rFonts w:ascii="Times New Roman" w:hAnsi="Times New Roman"/>
          <w:sz w:val="28"/>
          <w:szCs w:val="28"/>
        </w:rPr>
        <w:t>Definición</w:t>
      </w:r>
      <w:r w:rsidRPr="00160FDA">
        <w:rPr>
          <w:rFonts w:ascii="Times New Roman" w:hAnsi="Times New Roman"/>
          <w:b/>
          <w:sz w:val="28"/>
          <w:szCs w:val="28"/>
        </w:rPr>
        <w:t xml:space="preserve"> </w:t>
      </w:r>
    </w:p>
    <w:p w:rsidR="00B410A9" w:rsidRPr="00160FDA" w:rsidRDefault="00B410A9" w:rsidP="00B410A9">
      <w:pPr>
        <w:spacing w:after="0" w:line="240" w:lineRule="auto"/>
        <w:ind w:left="567"/>
        <w:jc w:val="both"/>
        <w:rPr>
          <w:rFonts w:ascii="Times New Roman" w:hAnsi="Times New Roman"/>
          <w:sz w:val="28"/>
          <w:szCs w:val="28"/>
        </w:rPr>
      </w:pPr>
    </w:p>
    <w:p w:rsidR="00B410A9" w:rsidRPr="00160FDA" w:rsidRDefault="00B410A9" w:rsidP="00B410A9">
      <w:pPr>
        <w:spacing w:after="0" w:line="240" w:lineRule="auto"/>
        <w:ind w:left="567"/>
        <w:jc w:val="both"/>
        <w:rPr>
          <w:rFonts w:ascii="Times New Roman" w:hAnsi="Times New Roman"/>
          <w:sz w:val="28"/>
          <w:szCs w:val="28"/>
        </w:rPr>
      </w:pPr>
      <w:r w:rsidRPr="00160FDA">
        <w:rPr>
          <w:rFonts w:ascii="Times New Roman" w:hAnsi="Times New Roman"/>
          <w:b/>
          <w:sz w:val="28"/>
          <w:szCs w:val="28"/>
        </w:rPr>
        <w:t>TIPIFICACION DEL FEMINICIDIO-</w:t>
      </w:r>
      <w:r w:rsidRPr="00160FDA">
        <w:rPr>
          <w:rFonts w:ascii="Times New Roman" w:hAnsi="Times New Roman"/>
          <w:sz w:val="28"/>
          <w:szCs w:val="28"/>
        </w:rPr>
        <w:t>Inclusión de circunstancias contextuales como elementos descriptivos del tipo, como los indicios, antecedentes y amenazas contra la mujer</w:t>
      </w:r>
    </w:p>
    <w:p w:rsidR="00B410A9" w:rsidRPr="00160FDA" w:rsidRDefault="00B410A9" w:rsidP="00B410A9">
      <w:pPr>
        <w:spacing w:after="0" w:line="240" w:lineRule="auto"/>
        <w:ind w:left="567"/>
        <w:jc w:val="both"/>
        <w:rPr>
          <w:rFonts w:ascii="Times New Roman" w:hAnsi="Times New Roman"/>
          <w:sz w:val="28"/>
          <w:szCs w:val="28"/>
        </w:rPr>
      </w:pPr>
    </w:p>
    <w:p w:rsidR="00B410A9" w:rsidRPr="00160FDA" w:rsidRDefault="00B410A9" w:rsidP="00B410A9">
      <w:pPr>
        <w:spacing w:after="0" w:line="240" w:lineRule="auto"/>
        <w:ind w:left="567"/>
        <w:jc w:val="both"/>
        <w:rPr>
          <w:rFonts w:ascii="Times New Roman" w:hAnsi="Times New Roman"/>
          <w:sz w:val="28"/>
          <w:szCs w:val="28"/>
        </w:rPr>
      </w:pPr>
      <w:r w:rsidRPr="00160FDA">
        <w:rPr>
          <w:rFonts w:ascii="Times New Roman" w:hAnsi="Times New Roman"/>
          <w:b/>
          <w:sz w:val="28"/>
          <w:szCs w:val="28"/>
        </w:rPr>
        <w:t>ESTADO-</w:t>
      </w:r>
      <w:r w:rsidRPr="00160FDA">
        <w:rPr>
          <w:rFonts w:ascii="Times New Roman" w:hAnsi="Times New Roman"/>
          <w:sz w:val="28"/>
          <w:szCs w:val="28"/>
        </w:rPr>
        <w:t>Obligación de prevenir, investigar y sancionar la violencia contra las mujeres frente a la evidencia contundente de los altos grados de impunidad que las formas tradicionales de política criminal no han logrado combatir/</w:t>
      </w:r>
      <w:r w:rsidRPr="00160FDA">
        <w:rPr>
          <w:rFonts w:ascii="Times New Roman" w:hAnsi="Times New Roman"/>
          <w:b/>
          <w:sz w:val="28"/>
          <w:szCs w:val="28"/>
        </w:rPr>
        <w:t>ACCESO A LA JUSTICIA PARA LAS MUJERES-</w:t>
      </w:r>
      <w:r w:rsidRPr="00160FDA">
        <w:rPr>
          <w:rFonts w:ascii="Times New Roman" w:hAnsi="Times New Roman"/>
          <w:sz w:val="28"/>
          <w:szCs w:val="28"/>
        </w:rPr>
        <w:t xml:space="preserve">Garantía supone un cambio estructural en el acercamiento del derecho penal para que la tipificación de las conductas que violan sus derechos humanos, su investigación y sanción integren una perspectiva de género </w:t>
      </w:r>
    </w:p>
    <w:p w:rsidR="00B410A9" w:rsidRPr="00160FDA" w:rsidRDefault="00B410A9" w:rsidP="00B410A9">
      <w:pPr>
        <w:spacing w:after="0" w:line="240" w:lineRule="auto"/>
        <w:jc w:val="both"/>
        <w:rPr>
          <w:rFonts w:ascii="Times New Roman" w:hAnsi="Times New Roman"/>
          <w:bCs/>
          <w:i/>
          <w:sz w:val="28"/>
          <w:szCs w:val="28"/>
          <w:lang w:val="es-ES_tradnl" w:eastAsia="es-ES"/>
        </w:rPr>
      </w:pPr>
    </w:p>
    <w:p w:rsidR="00B410A9" w:rsidRPr="00160FDA" w:rsidRDefault="00B410A9" w:rsidP="00B410A9">
      <w:pPr>
        <w:spacing w:after="0" w:line="240" w:lineRule="auto"/>
        <w:jc w:val="both"/>
        <w:rPr>
          <w:rFonts w:ascii="Times New Roman" w:hAnsi="Times New Roman"/>
          <w:bCs/>
          <w:i/>
          <w:sz w:val="28"/>
          <w:szCs w:val="28"/>
          <w:lang w:val="es-ES_tradnl" w:eastAsia="es-ES"/>
        </w:rPr>
      </w:pPr>
    </w:p>
    <w:p w:rsidR="00B410A9" w:rsidRPr="00160FDA" w:rsidRDefault="00B410A9" w:rsidP="00B410A9">
      <w:pPr>
        <w:spacing w:after="0" w:line="240" w:lineRule="auto"/>
        <w:ind w:left="567"/>
        <w:jc w:val="both"/>
        <w:rPr>
          <w:rFonts w:ascii="Times New Roman" w:hAnsi="Times New Roman"/>
          <w:sz w:val="28"/>
          <w:szCs w:val="28"/>
        </w:rPr>
      </w:pPr>
      <w:r w:rsidRPr="00160FDA">
        <w:rPr>
          <w:rFonts w:ascii="Times New Roman" w:hAnsi="Times New Roman"/>
          <w:b/>
          <w:sz w:val="28"/>
          <w:szCs w:val="28"/>
        </w:rPr>
        <w:t>TIPIFICACION DEL FEMINICIDIO-</w:t>
      </w:r>
      <w:r w:rsidRPr="00160FDA">
        <w:rPr>
          <w:rFonts w:ascii="Times New Roman" w:hAnsi="Times New Roman"/>
          <w:sz w:val="28"/>
          <w:szCs w:val="28"/>
        </w:rPr>
        <w:t xml:space="preserve">Inclusión de expresión </w:t>
      </w:r>
      <w:r w:rsidRPr="00160FDA">
        <w:rPr>
          <w:rFonts w:ascii="Times New Roman" w:hAnsi="Times New Roman"/>
          <w:i/>
          <w:sz w:val="28"/>
          <w:szCs w:val="28"/>
        </w:rPr>
        <w:t xml:space="preserve">“cualquier tipo de violencia” </w:t>
      </w:r>
      <w:r w:rsidRPr="00160FDA">
        <w:rPr>
          <w:rFonts w:ascii="Times New Roman" w:hAnsi="Times New Roman"/>
          <w:sz w:val="28"/>
          <w:szCs w:val="28"/>
        </w:rPr>
        <w:t>en norma acusada</w:t>
      </w:r>
      <w:r w:rsidRPr="00160FDA">
        <w:rPr>
          <w:rFonts w:ascii="Times New Roman" w:hAnsi="Times New Roman"/>
          <w:i/>
          <w:sz w:val="28"/>
          <w:szCs w:val="28"/>
        </w:rPr>
        <w:t>,</w:t>
      </w:r>
      <w:r w:rsidRPr="00160FDA">
        <w:rPr>
          <w:rFonts w:ascii="Times New Roman" w:hAnsi="Times New Roman"/>
          <w:sz w:val="28"/>
          <w:szCs w:val="28"/>
        </w:rPr>
        <w:t xml:space="preserve"> admite una lectura </w:t>
      </w:r>
      <w:r w:rsidRPr="00160FDA">
        <w:rPr>
          <w:rFonts w:ascii="Times New Roman" w:hAnsi="Times New Roman"/>
          <w:sz w:val="28"/>
          <w:szCs w:val="28"/>
        </w:rPr>
        <w:lastRenderedPageBreak/>
        <w:t xml:space="preserve">abierta que hace que el comportamiento carezca de precisión y claridad, lo cual incumple con los requisitos que exige el principio de legalidad </w:t>
      </w:r>
    </w:p>
    <w:p w:rsidR="00B410A9" w:rsidRPr="00160FDA" w:rsidRDefault="00B410A9" w:rsidP="00B410A9">
      <w:pPr>
        <w:spacing w:after="0" w:line="240" w:lineRule="auto"/>
        <w:ind w:left="567"/>
        <w:jc w:val="both"/>
        <w:rPr>
          <w:rFonts w:ascii="Times New Roman" w:hAnsi="Times New Roman"/>
          <w:bCs/>
          <w:i/>
          <w:sz w:val="28"/>
          <w:szCs w:val="28"/>
          <w:lang w:val="es-ES_tradnl" w:eastAsia="es-ES"/>
        </w:rPr>
      </w:pPr>
    </w:p>
    <w:p w:rsidR="00B410A9" w:rsidRDefault="00B410A9" w:rsidP="00B410A9">
      <w:pPr>
        <w:ind w:left="567"/>
        <w:rPr>
          <w:rFonts w:ascii="Times New Roman" w:hAnsi="Times New Roman"/>
          <w:bCs/>
          <w:sz w:val="28"/>
          <w:szCs w:val="28"/>
          <w:lang w:val="es-ES_tradnl" w:eastAsia="es-ES"/>
        </w:rPr>
      </w:pPr>
      <w:r w:rsidRPr="00160FDA">
        <w:rPr>
          <w:rFonts w:ascii="Times New Roman" w:hAnsi="Times New Roman"/>
          <w:b/>
          <w:sz w:val="28"/>
          <w:szCs w:val="28"/>
        </w:rPr>
        <w:t>CORTE CONSTITUCIONAL-</w:t>
      </w:r>
      <w:r w:rsidRPr="00160FDA">
        <w:rPr>
          <w:rFonts w:ascii="Times New Roman" w:hAnsi="Times New Roman"/>
          <w:sz w:val="28"/>
          <w:szCs w:val="28"/>
        </w:rPr>
        <w:t>Facultad de modular sus fallos/</w:t>
      </w:r>
      <w:r w:rsidRPr="00160FDA">
        <w:rPr>
          <w:rFonts w:ascii="Times New Roman" w:hAnsi="Times New Roman"/>
          <w:b/>
          <w:sz w:val="28"/>
          <w:szCs w:val="28"/>
        </w:rPr>
        <w:t>CORTE CONSTITUCIONAL</w:t>
      </w:r>
      <w:r w:rsidRPr="00160FDA">
        <w:rPr>
          <w:rFonts w:ascii="Times New Roman" w:hAnsi="Times New Roman"/>
          <w:b/>
          <w:bCs/>
          <w:sz w:val="28"/>
          <w:szCs w:val="28"/>
          <w:lang w:val="es-ES_tradnl" w:eastAsia="es-ES"/>
        </w:rPr>
        <w:t>-</w:t>
      </w:r>
      <w:r w:rsidRPr="00160FDA">
        <w:rPr>
          <w:rFonts w:ascii="Times New Roman" w:hAnsi="Times New Roman"/>
          <w:bCs/>
          <w:sz w:val="28"/>
          <w:szCs w:val="28"/>
          <w:lang w:val="es-ES_tradnl" w:eastAsia="es-ES"/>
        </w:rPr>
        <w:t>Sentencia condicionada para garantizar el respeto al principio de legalidad  </w:t>
      </w:r>
    </w:p>
    <w:p w:rsidR="00067FC6" w:rsidRPr="00067FC6" w:rsidRDefault="00067FC6" w:rsidP="00067FC6">
      <w:pPr>
        <w:ind w:left="567"/>
        <w:jc w:val="both"/>
        <w:rPr>
          <w:rFonts w:ascii="Times New Roman" w:hAnsi="Times New Roman"/>
          <w:bCs/>
          <w:sz w:val="28"/>
          <w:szCs w:val="28"/>
          <w:lang w:val="es-ES_tradnl" w:eastAsia="es-ES"/>
        </w:rPr>
      </w:pPr>
      <w:r w:rsidRPr="00067FC6">
        <w:rPr>
          <w:rFonts w:ascii="Times New Roman" w:hAnsi="Times New Roman"/>
          <w:b/>
          <w:bCs/>
          <w:sz w:val="28"/>
          <w:szCs w:val="28"/>
          <w:shd w:val="clear" w:color="auto" w:fill="FFFFFF"/>
        </w:rPr>
        <w:t>TIPO PENAL DE FEMINICIDIO</w:t>
      </w:r>
      <w:r w:rsidRPr="00067FC6">
        <w:rPr>
          <w:rFonts w:ascii="Times New Roman" w:hAnsi="Times New Roman"/>
          <w:b/>
          <w:sz w:val="28"/>
          <w:szCs w:val="28"/>
          <w:shd w:val="clear" w:color="auto" w:fill="FFFFFF"/>
        </w:rPr>
        <w:t>-</w:t>
      </w:r>
      <w:r w:rsidRPr="00067FC6">
        <w:rPr>
          <w:rFonts w:ascii="Times New Roman" w:hAnsi="Times New Roman"/>
          <w:sz w:val="28"/>
          <w:szCs w:val="28"/>
          <w:shd w:val="clear" w:color="auto" w:fill="FFFFFF"/>
        </w:rPr>
        <w:t>En aplicación del principio de legalidad se condiciona la expresión demandada en el entendido de que la violencia a la que se refiere es violencia de género como una circunstancia contextual para determinar el elemento subjetivo del tipo/</w:t>
      </w:r>
      <w:r w:rsidRPr="00067FC6">
        <w:rPr>
          <w:rFonts w:ascii="Times New Roman" w:hAnsi="Times New Roman"/>
          <w:b/>
          <w:bCs/>
          <w:sz w:val="28"/>
          <w:szCs w:val="28"/>
          <w:shd w:val="clear" w:color="auto" w:fill="FFFFFF"/>
        </w:rPr>
        <w:t>VIOLENCIA DE GENERO COMO CIRCUNSTANCIA CONTEXTUAL PARA DETERMINAR EL ELEMENTO SUBJETIVO DEL TIPO PENAL</w:t>
      </w:r>
      <w:r w:rsidRPr="00067FC6">
        <w:rPr>
          <w:rFonts w:ascii="Times New Roman" w:hAnsi="Times New Roman"/>
          <w:b/>
          <w:sz w:val="28"/>
          <w:szCs w:val="28"/>
          <w:shd w:val="clear" w:color="auto" w:fill="FFFFFF"/>
        </w:rPr>
        <w:t>-</w:t>
      </w:r>
      <w:r w:rsidRPr="00067FC6">
        <w:rPr>
          <w:rFonts w:ascii="Times New Roman" w:hAnsi="Times New Roman"/>
          <w:sz w:val="28"/>
          <w:szCs w:val="28"/>
          <w:shd w:val="clear" w:color="auto" w:fill="FFFFFF"/>
        </w:rPr>
        <w:t>Verificación de dicha circunstancia no excluye el análisis que el fiscal o el juez deben hacer para verificar la tipicidad, antijuridicidad y culpabilidad en el proceso penal con el debido respeto al derecho al debido proceso/</w:t>
      </w:r>
      <w:r w:rsidRPr="00067FC6">
        <w:rPr>
          <w:rFonts w:ascii="Times New Roman" w:hAnsi="Times New Roman"/>
          <w:b/>
          <w:bCs/>
          <w:sz w:val="28"/>
          <w:szCs w:val="28"/>
          <w:shd w:val="clear" w:color="auto" w:fill="FFFFFF"/>
        </w:rPr>
        <w:t>VIOLENCIA DE GENERO EN CONTEXTO DE FEMINICIDIO</w:t>
      </w:r>
      <w:r w:rsidRPr="00067FC6">
        <w:rPr>
          <w:rFonts w:ascii="Times New Roman" w:hAnsi="Times New Roman"/>
          <w:b/>
          <w:sz w:val="28"/>
          <w:szCs w:val="28"/>
          <w:shd w:val="clear" w:color="auto" w:fill="FFFFFF"/>
        </w:rPr>
        <w:t>-</w:t>
      </w:r>
      <w:r w:rsidRPr="00067FC6">
        <w:rPr>
          <w:rFonts w:ascii="Times New Roman" w:hAnsi="Times New Roman"/>
          <w:sz w:val="28"/>
          <w:szCs w:val="28"/>
          <w:shd w:val="clear" w:color="auto" w:fill="FFFFFF"/>
        </w:rPr>
        <w:t>No excluye el análisis de culpabilidad</w:t>
      </w:r>
    </w:p>
    <w:p w:rsidR="00F35ED7" w:rsidRDefault="00F35ED7" w:rsidP="005E665C">
      <w:pPr>
        <w:keepNext/>
        <w:overflowPunct w:val="0"/>
        <w:autoSpaceDE w:val="0"/>
        <w:autoSpaceDN w:val="0"/>
        <w:spacing w:after="0" w:line="240" w:lineRule="auto"/>
        <w:ind w:right="51"/>
        <w:outlineLvl w:val="7"/>
        <w:rPr>
          <w:rFonts w:ascii="Times New Roman" w:hAnsi="Times New Roman"/>
          <w:b/>
          <w:bCs/>
          <w:sz w:val="28"/>
          <w:szCs w:val="28"/>
          <w:lang w:val="es-ES_tradnl" w:eastAsia="es-ES"/>
        </w:rPr>
      </w:pPr>
    </w:p>
    <w:p w:rsidR="00184063" w:rsidRPr="005E665C" w:rsidRDefault="00184063" w:rsidP="005E665C">
      <w:pPr>
        <w:overflowPunct w:val="0"/>
        <w:autoSpaceDE w:val="0"/>
        <w:autoSpaceDN w:val="0"/>
        <w:spacing w:after="0" w:line="240" w:lineRule="auto"/>
        <w:ind w:left="3969" w:right="618"/>
        <w:jc w:val="both"/>
        <w:rPr>
          <w:rFonts w:ascii="Times New Roman" w:hAnsi="Times New Roman"/>
          <w:sz w:val="28"/>
          <w:szCs w:val="28"/>
          <w:lang w:val="es-ES_tradnl" w:eastAsia="es-ES"/>
        </w:rPr>
      </w:pPr>
      <w:r w:rsidRPr="005E665C">
        <w:rPr>
          <w:rFonts w:ascii="Times New Roman" w:hAnsi="Times New Roman"/>
          <w:bCs/>
          <w:sz w:val="28"/>
          <w:szCs w:val="28"/>
          <w:lang w:val="es-ES_tradnl" w:eastAsia="es-ES"/>
        </w:rPr>
        <w:t xml:space="preserve">Referencia: </w:t>
      </w:r>
      <w:r w:rsidR="005E665C" w:rsidRPr="005E665C">
        <w:rPr>
          <w:rFonts w:ascii="Times New Roman" w:hAnsi="Times New Roman"/>
          <w:sz w:val="28"/>
          <w:szCs w:val="28"/>
          <w:lang w:val="es-ES_tradnl" w:eastAsia="es-ES"/>
        </w:rPr>
        <w:t>e</w:t>
      </w:r>
      <w:r w:rsidRPr="005E665C">
        <w:rPr>
          <w:rFonts w:ascii="Times New Roman" w:hAnsi="Times New Roman"/>
          <w:sz w:val="28"/>
          <w:szCs w:val="28"/>
          <w:lang w:val="es-ES_tradnl" w:eastAsia="es-ES"/>
        </w:rPr>
        <w:t>xpediente D-11027</w:t>
      </w:r>
    </w:p>
    <w:p w:rsidR="00184063" w:rsidRPr="005E665C" w:rsidRDefault="00184063" w:rsidP="005E665C">
      <w:pPr>
        <w:overflowPunct w:val="0"/>
        <w:autoSpaceDE w:val="0"/>
        <w:autoSpaceDN w:val="0"/>
        <w:spacing w:after="0" w:line="240" w:lineRule="auto"/>
        <w:ind w:left="3969" w:right="618"/>
        <w:jc w:val="both"/>
        <w:rPr>
          <w:rFonts w:ascii="Times New Roman" w:hAnsi="Times New Roman"/>
          <w:sz w:val="28"/>
          <w:szCs w:val="28"/>
          <w:lang w:eastAsia="es-ES"/>
        </w:rPr>
      </w:pPr>
    </w:p>
    <w:p w:rsidR="00184063" w:rsidRPr="005E665C" w:rsidRDefault="00184063" w:rsidP="005E665C">
      <w:pPr>
        <w:overflowPunct w:val="0"/>
        <w:autoSpaceDE w:val="0"/>
        <w:autoSpaceDN w:val="0"/>
        <w:spacing w:after="0" w:line="240" w:lineRule="auto"/>
        <w:ind w:left="3969"/>
        <w:jc w:val="both"/>
        <w:rPr>
          <w:rFonts w:ascii="Times New Roman" w:hAnsi="Times New Roman"/>
          <w:bCs/>
          <w:i/>
          <w:sz w:val="28"/>
          <w:szCs w:val="28"/>
          <w:lang w:val="es-CO"/>
        </w:rPr>
      </w:pPr>
      <w:r w:rsidRPr="005E665C">
        <w:rPr>
          <w:rFonts w:ascii="Times New Roman" w:hAnsi="Times New Roman"/>
          <w:sz w:val="28"/>
          <w:szCs w:val="28"/>
          <w:lang w:val="es-ES_tradnl" w:eastAsia="es-ES"/>
        </w:rPr>
        <w:t>Asunto: Demanda de inconstitucionalidad contra el literal e</w:t>
      </w:r>
      <w:r w:rsidR="003F7834" w:rsidRPr="005E665C">
        <w:rPr>
          <w:rFonts w:ascii="Times New Roman" w:hAnsi="Times New Roman"/>
          <w:sz w:val="28"/>
          <w:szCs w:val="28"/>
          <w:lang w:val="es-ES_tradnl" w:eastAsia="es-ES"/>
        </w:rPr>
        <w:t>)</w:t>
      </w:r>
      <w:r w:rsidRPr="005E665C">
        <w:rPr>
          <w:rFonts w:ascii="Times New Roman" w:hAnsi="Times New Roman"/>
          <w:sz w:val="28"/>
          <w:szCs w:val="28"/>
          <w:lang w:val="es-ES_tradnl" w:eastAsia="es-ES"/>
        </w:rPr>
        <w:t xml:space="preserve"> del </w:t>
      </w:r>
      <w:r w:rsidRPr="005E665C">
        <w:rPr>
          <w:rFonts w:ascii="Times New Roman" w:hAnsi="Times New Roman"/>
          <w:iCs/>
          <w:sz w:val="28"/>
          <w:szCs w:val="28"/>
          <w:lang w:val="es-CO"/>
        </w:rPr>
        <w:t>artículo 2º (parcial) de la Ley 1761 de 201</w:t>
      </w:r>
      <w:r w:rsidR="00656456" w:rsidRPr="005E665C">
        <w:rPr>
          <w:rFonts w:ascii="Times New Roman" w:hAnsi="Times New Roman"/>
          <w:iCs/>
          <w:sz w:val="28"/>
          <w:szCs w:val="28"/>
          <w:lang w:val="es-CO"/>
        </w:rPr>
        <w:t>5</w:t>
      </w:r>
      <w:r w:rsidRPr="005E665C">
        <w:rPr>
          <w:rFonts w:ascii="Times New Roman" w:hAnsi="Times New Roman"/>
          <w:iCs/>
          <w:sz w:val="28"/>
          <w:szCs w:val="28"/>
          <w:lang w:val="es-CO"/>
        </w:rPr>
        <w:t xml:space="preserve"> </w:t>
      </w:r>
      <w:r w:rsidRPr="005E665C">
        <w:rPr>
          <w:rFonts w:ascii="Times New Roman" w:hAnsi="Times New Roman"/>
          <w:i/>
          <w:sz w:val="28"/>
          <w:szCs w:val="28"/>
          <w:lang w:val="es-CO"/>
        </w:rPr>
        <w:t>“P</w:t>
      </w:r>
      <w:r w:rsidRPr="005E665C">
        <w:rPr>
          <w:rFonts w:ascii="Times New Roman" w:hAnsi="Times New Roman"/>
          <w:i/>
          <w:sz w:val="28"/>
          <w:szCs w:val="28"/>
        </w:rPr>
        <w:t>or la cual se crea el tipo penal de feminicidio como delito autónomo y se dictan otras disposiciones</w:t>
      </w:r>
      <w:r w:rsidRPr="005E665C">
        <w:rPr>
          <w:rFonts w:ascii="Times New Roman" w:hAnsi="Times New Roman"/>
          <w:i/>
          <w:sz w:val="28"/>
          <w:szCs w:val="28"/>
          <w:lang w:val="es-CO"/>
        </w:rPr>
        <w:t>” (Rosa Elvira Cely).</w:t>
      </w:r>
    </w:p>
    <w:p w:rsidR="00184063" w:rsidRPr="005E665C" w:rsidRDefault="00184063" w:rsidP="005E665C">
      <w:pPr>
        <w:overflowPunct w:val="0"/>
        <w:autoSpaceDE w:val="0"/>
        <w:autoSpaceDN w:val="0"/>
        <w:spacing w:after="0" w:line="240" w:lineRule="auto"/>
        <w:ind w:left="3969"/>
        <w:jc w:val="both"/>
        <w:rPr>
          <w:rFonts w:ascii="Times New Roman" w:hAnsi="Times New Roman"/>
          <w:sz w:val="28"/>
          <w:szCs w:val="28"/>
          <w:lang w:eastAsia="es-ES"/>
        </w:rPr>
      </w:pPr>
    </w:p>
    <w:p w:rsidR="00184063" w:rsidRPr="005E665C" w:rsidRDefault="00184063" w:rsidP="005E665C">
      <w:pPr>
        <w:overflowPunct w:val="0"/>
        <w:autoSpaceDE w:val="0"/>
        <w:autoSpaceDN w:val="0"/>
        <w:spacing w:after="0" w:line="240" w:lineRule="auto"/>
        <w:ind w:left="3969"/>
        <w:jc w:val="both"/>
        <w:rPr>
          <w:rFonts w:ascii="Times New Roman" w:hAnsi="Times New Roman"/>
          <w:sz w:val="28"/>
          <w:szCs w:val="28"/>
          <w:lang w:eastAsia="es-ES"/>
        </w:rPr>
      </w:pPr>
      <w:r w:rsidRPr="005E665C">
        <w:rPr>
          <w:rFonts w:ascii="Times New Roman" w:hAnsi="Times New Roman"/>
          <w:sz w:val="28"/>
          <w:szCs w:val="28"/>
          <w:lang w:eastAsia="es-ES"/>
        </w:rPr>
        <w:t>Demandante: Juan Sebastián Bautista Pulido</w:t>
      </w:r>
    </w:p>
    <w:p w:rsidR="00184063" w:rsidRPr="005E665C" w:rsidRDefault="00184063" w:rsidP="005E665C">
      <w:pPr>
        <w:overflowPunct w:val="0"/>
        <w:autoSpaceDE w:val="0"/>
        <w:autoSpaceDN w:val="0"/>
        <w:spacing w:after="0" w:line="240" w:lineRule="auto"/>
        <w:ind w:left="3969" w:right="618"/>
        <w:jc w:val="both"/>
        <w:rPr>
          <w:rFonts w:ascii="Times New Roman" w:hAnsi="Times New Roman"/>
          <w:sz w:val="28"/>
          <w:szCs w:val="28"/>
          <w:lang w:eastAsia="es-ES"/>
        </w:rPr>
      </w:pPr>
    </w:p>
    <w:p w:rsidR="00184063" w:rsidRPr="005E665C" w:rsidRDefault="00ED432D" w:rsidP="005E665C">
      <w:pPr>
        <w:overflowPunct w:val="0"/>
        <w:autoSpaceDE w:val="0"/>
        <w:autoSpaceDN w:val="0"/>
        <w:spacing w:after="0" w:line="240" w:lineRule="auto"/>
        <w:ind w:left="3969" w:right="80"/>
        <w:jc w:val="both"/>
        <w:rPr>
          <w:rFonts w:ascii="Times New Roman" w:hAnsi="Times New Roman"/>
          <w:iCs/>
          <w:sz w:val="28"/>
          <w:szCs w:val="28"/>
          <w:lang w:val="es-ES_tradnl" w:eastAsia="es-ES"/>
        </w:rPr>
      </w:pPr>
      <w:r w:rsidRPr="005E665C">
        <w:rPr>
          <w:rFonts w:ascii="Times New Roman" w:hAnsi="Times New Roman"/>
          <w:iCs/>
          <w:sz w:val="28"/>
          <w:szCs w:val="28"/>
          <w:lang w:val="es-ES_tradnl" w:eastAsia="es-ES"/>
        </w:rPr>
        <w:t>Magistrada Ponente</w:t>
      </w:r>
      <w:r w:rsidR="00184063" w:rsidRPr="005E665C">
        <w:rPr>
          <w:rFonts w:ascii="Times New Roman" w:hAnsi="Times New Roman"/>
          <w:iCs/>
          <w:sz w:val="28"/>
          <w:szCs w:val="28"/>
          <w:lang w:val="es-ES_tradnl" w:eastAsia="es-ES"/>
        </w:rPr>
        <w:t xml:space="preserve">: </w:t>
      </w:r>
    </w:p>
    <w:p w:rsidR="00184063" w:rsidRPr="005E665C" w:rsidRDefault="00184063" w:rsidP="005E665C">
      <w:pPr>
        <w:tabs>
          <w:tab w:val="left" w:pos="8640"/>
          <w:tab w:val="left" w:pos="8760"/>
        </w:tabs>
        <w:overflowPunct w:val="0"/>
        <w:autoSpaceDE w:val="0"/>
        <w:autoSpaceDN w:val="0"/>
        <w:spacing w:after="0" w:line="240" w:lineRule="auto"/>
        <w:ind w:left="3969" w:right="80"/>
        <w:jc w:val="both"/>
        <w:rPr>
          <w:rFonts w:ascii="Times New Roman" w:hAnsi="Times New Roman"/>
          <w:iCs/>
          <w:sz w:val="28"/>
          <w:szCs w:val="28"/>
          <w:lang w:val="es-ES_tradnl" w:eastAsia="es-ES"/>
        </w:rPr>
      </w:pPr>
      <w:r w:rsidRPr="005E665C">
        <w:rPr>
          <w:rFonts w:ascii="Times New Roman" w:hAnsi="Times New Roman"/>
          <w:iCs/>
          <w:sz w:val="28"/>
          <w:szCs w:val="28"/>
          <w:lang w:val="es-ES_tradnl" w:eastAsia="es-ES"/>
        </w:rPr>
        <w:t>GLORIA STELLA ORTIZ DELGADO</w:t>
      </w:r>
    </w:p>
    <w:p w:rsidR="00184063" w:rsidRDefault="00184063" w:rsidP="00CD542C">
      <w:pPr>
        <w:overflowPunct w:val="0"/>
        <w:autoSpaceDE w:val="0"/>
        <w:autoSpaceDN w:val="0"/>
        <w:spacing w:after="0" w:line="240" w:lineRule="auto"/>
        <w:ind w:right="51"/>
        <w:jc w:val="both"/>
        <w:rPr>
          <w:rFonts w:ascii="Times New Roman" w:hAnsi="Times New Roman"/>
          <w:sz w:val="28"/>
          <w:szCs w:val="28"/>
          <w:lang w:val="es-ES_tradnl" w:eastAsia="es-ES"/>
        </w:rPr>
      </w:pPr>
    </w:p>
    <w:p w:rsidR="005E665C" w:rsidRPr="00CD542C" w:rsidRDefault="005E665C" w:rsidP="00CD542C">
      <w:pPr>
        <w:overflowPunct w:val="0"/>
        <w:autoSpaceDE w:val="0"/>
        <w:autoSpaceDN w:val="0"/>
        <w:spacing w:after="0" w:line="240" w:lineRule="auto"/>
        <w:ind w:right="51"/>
        <w:jc w:val="both"/>
        <w:rPr>
          <w:rFonts w:ascii="Times New Roman" w:hAnsi="Times New Roman"/>
          <w:sz w:val="28"/>
          <w:szCs w:val="28"/>
          <w:lang w:val="es-ES_tradnl" w:eastAsia="es-ES"/>
        </w:rPr>
      </w:pPr>
    </w:p>
    <w:p w:rsidR="00184063" w:rsidRPr="00CD542C" w:rsidRDefault="005E665C" w:rsidP="00CD542C">
      <w:pPr>
        <w:overflowPunct w:val="0"/>
        <w:autoSpaceDE w:val="0"/>
        <w:autoSpaceDN w:val="0"/>
        <w:spacing w:after="0" w:line="240" w:lineRule="auto"/>
        <w:ind w:right="51"/>
        <w:jc w:val="both"/>
        <w:rPr>
          <w:rFonts w:ascii="Times New Roman" w:hAnsi="Times New Roman"/>
          <w:sz w:val="28"/>
          <w:szCs w:val="28"/>
          <w:lang w:eastAsia="es-ES"/>
        </w:rPr>
      </w:pPr>
      <w:r>
        <w:rPr>
          <w:rFonts w:ascii="Times New Roman" w:hAnsi="Times New Roman"/>
          <w:sz w:val="28"/>
          <w:szCs w:val="28"/>
          <w:lang w:val="es-ES_tradnl" w:eastAsia="es-ES"/>
        </w:rPr>
        <w:t>Bogotá, D.C.,  ocho (</w:t>
      </w:r>
      <w:r w:rsidR="00ED3045" w:rsidRPr="00CD542C">
        <w:rPr>
          <w:rFonts w:ascii="Times New Roman" w:hAnsi="Times New Roman"/>
          <w:sz w:val="28"/>
          <w:szCs w:val="28"/>
          <w:lang w:val="es-ES_tradnl" w:eastAsia="es-ES"/>
        </w:rPr>
        <w:t>8) de junio</w:t>
      </w:r>
      <w:r w:rsidR="00184063" w:rsidRPr="00CD542C">
        <w:rPr>
          <w:rFonts w:ascii="Times New Roman" w:hAnsi="Times New Roman"/>
          <w:sz w:val="28"/>
          <w:szCs w:val="28"/>
          <w:lang w:val="es-ES_tradnl" w:eastAsia="es-ES"/>
        </w:rPr>
        <w:t xml:space="preserve"> de dos mil dieciséis (2016). </w:t>
      </w:r>
    </w:p>
    <w:p w:rsidR="00184063" w:rsidRPr="00CD542C" w:rsidRDefault="00184063" w:rsidP="00CD542C">
      <w:pPr>
        <w:overflowPunct w:val="0"/>
        <w:autoSpaceDE w:val="0"/>
        <w:autoSpaceDN w:val="0"/>
        <w:spacing w:after="0" w:line="240" w:lineRule="auto"/>
        <w:ind w:right="618"/>
        <w:jc w:val="both"/>
        <w:rPr>
          <w:rFonts w:ascii="Times New Roman" w:hAnsi="Times New Roman"/>
          <w:sz w:val="28"/>
          <w:szCs w:val="28"/>
          <w:lang w:eastAsia="es-ES"/>
        </w:rPr>
      </w:pPr>
      <w:r w:rsidRPr="00CD542C">
        <w:rPr>
          <w:rFonts w:ascii="Times New Roman" w:hAnsi="Times New Roman"/>
          <w:sz w:val="28"/>
          <w:szCs w:val="28"/>
          <w:lang w:val="es-ES_tradnl" w:eastAsia="es-ES"/>
        </w:rPr>
        <w:t> </w:t>
      </w:r>
    </w:p>
    <w:p w:rsidR="00184063" w:rsidRPr="00CD542C" w:rsidRDefault="00FC11B3" w:rsidP="00CD542C">
      <w:pPr>
        <w:spacing w:after="0" w:line="240" w:lineRule="auto"/>
        <w:ind w:right="51"/>
        <w:jc w:val="both"/>
        <w:rPr>
          <w:rFonts w:ascii="Times New Roman" w:hAnsi="Times New Roman"/>
          <w:sz w:val="28"/>
          <w:szCs w:val="28"/>
          <w:lang w:val="es-CO" w:eastAsia="es-ES"/>
        </w:rPr>
      </w:pPr>
      <w:r w:rsidRPr="00CD542C">
        <w:rPr>
          <w:rFonts w:ascii="Times New Roman" w:hAnsi="Times New Roman"/>
          <w:sz w:val="28"/>
          <w:szCs w:val="28"/>
        </w:rPr>
        <w:t xml:space="preserve">La Sala Plena de la Corte Constitucional, integrada por los Magistrados María Victoria Calle Correa, quien la preside, Luis Guillermo Guerrero Pérez, Alejandro Linares Cantillo, Gabriel Eduardo Mendoza Martelo, Gloria Stella Ortiz Delgado, Jorge Iván Palacio Palacio, Jorge Ignacio Pretelt Chaljub, Alberto Rojas Ríos y Luis Ernesto Vargas Silva, </w:t>
      </w:r>
      <w:r w:rsidR="00184063" w:rsidRPr="00CD542C">
        <w:rPr>
          <w:rFonts w:ascii="Times New Roman" w:hAnsi="Times New Roman"/>
          <w:sz w:val="28"/>
          <w:szCs w:val="28"/>
          <w:shd w:val="clear" w:color="auto" w:fill="FFFFFF"/>
          <w:lang w:val="es-CO" w:eastAsia="es-ES"/>
        </w:rPr>
        <w:t>en ejercicio de sus atribuciones constitucionales y legales, en especial de las previstas en el numeral 4º del artículo 241 de la Constitución Política, cumplidos todos los trámites y requisitos contemplados en el Decreto 2067 de 1991, ha proferido la siguiente:</w:t>
      </w:r>
    </w:p>
    <w:p w:rsidR="00184063" w:rsidRPr="00CD542C" w:rsidRDefault="00184063" w:rsidP="00CD542C">
      <w:pPr>
        <w:overflowPunct w:val="0"/>
        <w:autoSpaceDE w:val="0"/>
        <w:autoSpaceDN w:val="0"/>
        <w:spacing w:after="0" w:line="240" w:lineRule="auto"/>
        <w:ind w:right="618"/>
        <w:jc w:val="both"/>
        <w:rPr>
          <w:rFonts w:ascii="Times New Roman" w:hAnsi="Times New Roman"/>
          <w:sz w:val="28"/>
          <w:szCs w:val="28"/>
          <w:lang w:eastAsia="es-ES"/>
        </w:rPr>
      </w:pPr>
      <w:r w:rsidRPr="00CD542C">
        <w:rPr>
          <w:rFonts w:ascii="Times New Roman" w:hAnsi="Times New Roman"/>
          <w:b/>
          <w:bCs/>
          <w:sz w:val="28"/>
          <w:szCs w:val="28"/>
          <w:lang w:val="es-ES_tradnl" w:eastAsia="es-ES"/>
        </w:rPr>
        <w:lastRenderedPageBreak/>
        <w:t> </w:t>
      </w:r>
    </w:p>
    <w:p w:rsidR="00184063" w:rsidRPr="00CD542C" w:rsidRDefault="00184063" w:rsidP="00CD542C">
      <w:pPr>
        <w:overflowPunct w:val="0"/>
        <w:autoSpaceDE w:val="0"/>
        <w:autoSpaceDN w:val="0"/>
        <w:spacing w:after="0" w:line="240" w:lineRule="auto"/>
        <w:ind w:right="618"/>
        <w:jc w:val="center"/>
        <w:rPr>
          <w:rFonts w:ascii="Times New Roman" w:hAnsi="Times New Roman"/>
          <w:sz w:val="28"/>
          <w:szCs w:val="28"/>
          <w:lang w:eastAsia="es-ES"/>
        </w:rPr>
      </w:pPr>
      <w:r w:rsidRPr="00CD542C">
        <w:rPr>
          <w:rFonts w:ascii="Times New Roman" w:hAnsi="Times New Roman"/>
          <w:b/>
          <w:bCs/>
          <w:sz w:val="28"/>
          <w:szCs w:val="28"/>
          <w:lang w:val="es-ES_tradnl" w:eastAsia="es-ES"/>
        </w:rPr>
        <w:t>SENTENCIA</w:t>
      </w:r>
    </w:p>
    <w:p w:rsidR="00184063" w:rsidRPr="00CD542C" w:rsidRDefault="00184063" w:rsidP="00CD542C">
      <w:pPr>
        <w:overflowPunct w:val="0"/>
        <w:autoSpaceDE w:val="0"/>
        <w:autoSpaceDN w:val="0"/>
        <w:spacing w:after="0" w:line="240" w:lineRule="auto"/>
        <w:ind w:right="618"/>
        <w:rPr>
          <w:rFonts w:ascii="Times New Roman" w:hAnsi="Times New Roman"/>
          <w:b/>
          <w:bCs/>
          <w:sz w:val="28"/>
          <w:szCs w:val="28"/>
          <w:lang w:val="es-ES_tradnl" w:eastAsia="es-ES"/>
        </w:rPr>
      </w:pPr>
      <w:r w:rsidRPr="00CD542C">
        <w:rPr>
          <w:rFonts w:ascii="Times New Roman" w:hAnsi="Times New Roman"/>
          <w:b/>
          <w:bCs/>
          <w:sz w:val="28"/>
          <w:szCs w:val="28"/>
          <w:lang w:val="es-ES_tradnl" w:eastAsia="es-ES"/>
        </w:rPr>
        <w:t> </w:t>
      </w:r>
    </w:p>
    <w:p w:rsidR="00184063" w:rsidRPr="00CD542C" w:rsidRDefault="00184063" w:rsidP="00CD542C">
      <w:pPr>
        <w:numPr>
          <w:ilvl w:val="0"/>
          <w:numId w:val="1"/>
        </w:numPr>
        <w:spacing w:after="0" w:line="240" w:lineRule="auto"/>
        <w:contextualSpacing/>
        <w:rPr>
          <w:rFonts w:ascii="Times New Roman" w:hAnsi="Times New Roman"/>
          <w:b/>
          <w:sz w:val="28"/>
          <w:szCs w:val="28"/>
          <w:lang w:eastAsia="es-ES"/>
        </w:rPr>
      </w:pPr>
      <w:r w:rsidRPr="00CD542C">
        <w:rPr>
          <w:rFonts w:ascii="Times New Roman" w:hAnsi="Times New Roman"/>
          <w:b/>
          <w:sz w:val="28"/>
          <w:szCs w:val="28"/>
          <w:lang w:eastAsia="es-ES"/>
        </w:rPr>
        <w:t xml:space="preserve"> ANTECEDENTES</w:t>
      </w:r>
    </w:p>
    <w:p w:rsidR="00184063" w:rsidRPr="00CD542C" w:rsidRDefault="00184063" w:rsidP="00CD542C">
      <w:pPr>
        <w:spacing w:after="0" w:line="240" w:lineRule="auto"/>
        <w:rPr>
          <w:rFonts w:ascii="Times New Roman" w:hAnsi="Times New Roman"/>
          <w:b/>
          <w:sz w:val="28"/>
          <w:szCs w:val="28"/>
          <w:lang w:eastAsia="es-ES"/>
        </w:rPr>
      </w:pPr>
    </w:p>
    <w:p w:rsidR="00184063" w:rsidRPr="00CD542C" w:rsidRDefault="00184063" w:rsidP="00CD542C">
      <w:pPr>
        <w:overflowPunct w:val="0"/>
        <w:autoSpaceDE w:val="0"/>
        <w:autoSpaceDN w:val="0"/>
        <w:spacing w:after="0" w:line="240" w:lineRule="auto"/>
        <w:jc w:val="both"/>
        <w:rPr>
          <w:rFonts w:ascii="Times New Roman" w:hAnsi="Times New Roman"/>
          <w:bCs/>
          <w:i/>
          <w:sz w:val="28"/>
          <w:szCs w:val="28"/>
          <w:lang w:val="es-CO"/>
        </w:rPr>
      </w:pPr>
      <w:r w:rsidRPr="00CD542C">
        <w:rPr>
          <w:rFonts w:ascii="Times New Roman" w:hAnsi="Times New Roman"/>
          <w:sz w:val="28"/>
          <w:szCs w:val="28"/>
          <w:lang w:val="es-CO" w:eastAsia="es-ES"/>
        </w:rPr>
        <w:t>En ejercicio de la acción pública de inconstitucionalidad prevista en el artículo 242-1 de la Constitución Política,</w:t>
      </w:r>
      <w:r w:rsidRPr="00CD542C">
        <w:rPr>
          <w:rFonts w:ascii="Times New Roman" w:hAnsi="Times New Roman"/>
          <w:sz w:val="28"/>
          <w:szCs w:val="28"/>
        </w:rPr>
        <w:t xml:space="preserve"> </w:t>
      </w:r>
      <w:r w:rsidR="00FC11B3" w:rsidRPr="00CD542C">
        <w:rPr>
          <w:rFonts w:ascii="Times New Roman" w:hAnsi="Times New Roman"/>
          <w:sz w:val="28"/>
          <w:szCs w:val="28"/>
          <w:lang w:eastAsia="es-ES"/>
        </w:rPr>
        <w:t xml:space="preserve">Juan Sebastián Bautista Pulido </w:t>
      </w:r>
      <w:r w:rsidRPr="00CD542C">
        <w:rPr>
          <w:rFonts w:ascii="Times New Roman" w:hAnsi="Times New Roman"/>
          <w:sz w:val="28"/>
          <w:szCs w:val="28"/>
          <w:lang w:eastAsia="es-ES"/>
        </w:rPr>
        <w:t>presentó ante esta Corporación demanda contra</w:t>
      </w:r>
      <w:r w:rsidRPr="00CD542C">
        <w:rPr>
          <w:rFonts w:ascii="Times New Roman" w:hAnsi="Times New Roman"/>
          <w:sz w:val="28"/>
          <w:szCs w:val="28"/>
          <w:lang w:val="es-ES_tradnl" w:eastAsia="es-ES"/>
        </w:rPr>
        <w:t xml:space="preserve"> el</w:t>
      </w:r>
      <w:r w:rsidR="00FC11B3" w:rsidRPr="00CD542C">
        <w:rPr>
          <w:rFonts w:ascii="Times New Roman" w:hAnsi="Times New Roman"/>
          <w:sz w:val="28"/>
          <w:szCs w:val="28"/>
          <w:lang w:val="es-ES_tradnl" w:eastAsia="es-ES"/>
        </w:rPr>
        <w:t xml:space="preserve"> literal e</w:t>
      </w:r>
      <w:r w:rsidR="00760558" w:rsidRPr="00CD542C">
        <w:rPr>
          <w:rFonts w:ascii="Times New Roman" w:hAnsi="Times New Roman"/>
          <w:sz w:val="28"/>
          <w:szCs w:val="28"/>
          <w:lang w:val="es-ES_tradnl" w:eastAsia="es-ES"/>
        </w:rPr>
        <w:t>)</w:t>
      </w:r>
      <w:r w:rsidR="00FC11B3" w:rsidRPr="00CD542C">
        <w:rPr>
          <w:rFonts w:ascii="Times New Roman" w:hAnsi="Times New Roman"/>
          <w:sz w:val="28"/>
          <w:szCs w:val="28"/>
          <w:lang w:val="es-ES_tradnl" w:eastAsia="es-ES"/>
        </w:rPr>
        <w:t xml:space="preserve"> del</w:t>
      </w:r>
      <w:r w:rsidRPr="00CD542C">
        <w:rPr>
          <w:rFonts w:ascii="Times New Roman" w:hAnsi="Times New Roman"/>
          <w:sz w:val="28"/>
          <w:szCs w:val="28"/>
          <w:lang w:val="es-ES_tradnl" w:eastAsia="es-ES"/>
        </w:rPr>
        <w:t xml:space="preserve"> </w:t>
      </w:r>
      <w:r w:rsidRPr="00CD542C">
        <w:rPr>
          <w:rFonts w:ascii="Times New Roman" w:hAnsi="Times New Roman"/>
          <w:iCs/>
          <w:sz w:val="28"/>
          <w:szCs w:val="28"/>
          <w:lang w:val="es-CO"/>
        </w:rPr>
        <w:t xml:space="preserve">artículo </w:t>
      </w:r>
      <w:r w:rsidR="00FC11B3" w:rsidRPr="00CD542C">
        <w:rPr>
          <w:rFonts w:ascii="Times New Roman" w:hAnsi="Times New Roman"/>
          <w:iCs/>
          <w:sz w:val="28"/>
          <w:szCs w:val="28"/>
          <w:lang w:val="es-CO"/>
        </w:rPr>
        <w:t>2º</w:t>
      </w:r>
      <w:r w:rsidRPr="00CD542C">
        <w:rPr>
          <w:rFonts w:ascii="Times New Roman" w:hAnsi="Times New Roman"/>
          <w:iCs/>
          <w:sz w:val="28"/>
          <w:szCs w:val="28"/>
          <w:lang w:val="es-CO"/>
        </w:rPr>
        <w:t xml:space="preserve"> (parcial) de la Ley </w:t>
      </w:r>
      <w:r w:rsidR="00FC11B3" w:rsidRPr="00CD542C">
        <w:rPr>
          <w:rFonts w:ascii="Times New Roman" w:hAnsi="Times New Roman"/>
          <w:iCs/>
          <w:sz w:val="28"/>
          <w:szCs w:val="28"/>
          <w:lang w:val="es-CO"/>
        </w:rPr>
        <w:t>1761 de 201</w:t>
      </w:r>
      <w:r w:rsidR="00656456" w:rsidRPr="00CD542C">
        <w:rPr>
          <w:rFonts w:ascii="Times New Roman" w:hAnsi="Times New Roman"/>
          <w:iCs/>
          <w:sz w:val="28"/>
          <w:szCs w:val="28"/>
          <w:lang w:val="es-CO"/>
        </w:rPr>
        <w:t>5</w:t>
      </w:r>
      <w:r w:rsidR="00FC11B3" w:rsidRPr="00CD542C">
        <w:rPr>
          <w:rFonts w:ascii="Times New Roman" w:hAnsi="Times New Roman"/>
          <w:iCs/>
          <w:sz w:val="28"/>
          <w:szCs w:val="28"/>
          <w:lang w:val="es-CO"/>
        </w:rPr>
        <w:t xml:space="preserve"> </w:t>
      </w:r>
      <w:r w:rsidR="00FC11B3" w:rsidRPr="00CD542C">
        <w:rPr>
          <w:rFonts w:ascii="Times New Roman" w:hAnsi="Times New Roman"/>
          <w:i/>
          <w:sz w:val="28"/>
          <w:szCs w:val="28"/>
          <w:lang w:val="es-CO"/>
        </w:rPr>
        <w:t>“P</w:t>
      </w:r>
      <w:r w:rsidR="00FC11B3" w:rsidRPr="00CD542C">
        <w:rPr>
          <w:rFonts w:ascii="Times New Roman" w:hAnsi="Times New Roman"/>
          <w:i/>
          <w:sz w:val="28"/>
          <w:szCs w:val="28"/>
        </w:rPr>
        <w:t>or la cual se crea el tipo penal de feminicidio como delito autónomo y se dictan otras disposiciones</w:t>
      </w:r>
      <w:r w:rsidR="00FC11B3" w:rsidRPr="00CD542C">
        <w:rPr>
          <w:rFonts w:ascii="Times New Roman" w:hAnsi="Times New Roman"/>
          <w:i/>
          <w:sz w:val="28"/>
          <w:szCs w:val="28"/>
          <w:lang w:val="es-CO"/>
        </w:rPr>
        <w:t>” (Rosa Elvira Cely),</w:t>
      </w:r>
      <w:r w:rsidR="00A72CD8" w:rsidRPr="00CD542C">
        <w:rPr>
          <w:rFonts w:ascii="Times New Roman" w:hAnsi="Times New Roman"/>
          <w:i/>
          <w:sz w:val="28"/>
          <w:szCs w:val="28"/>
          <w:lang w:val="es-CO"/>
        </w:rPr>
        <w:t xml:space="preserve"> </w:t>
      </w:r>
      <w:r w:rsidRPr="00CD542C">
        <w:rPr>
          <w:rFonts w:ascii="Times New Roman" w:hAnsi="Times New Roman"/>
          <w:sz w:val="28"/>
          <w:szCs w:val="28"/>
          <w:lang w:eastAsia="es-ES"/>
        </w:rPr>
        <w:t xml:space="preserve">por considerar que vulnera los artículos </w:t>
      </w:r>
      <w:r w:rsidR="00FC11B3" w:rsidRPr="00CD542C">
        <w:rPr>
          <w:rFonts w:ascii="Times New Roman" w:hAnsi="Times New Roman"/>
          <w:sz w:val="28"/>
          <w:szCs w:val="28"/>
          <w:lang w:eastAsia="es-ES"/>
        </w:rPr>
        <w:t xml:space="preserve">1º y 29º </w:t>
      </w:r>
      <w:r w:rsidRPr="00CD542C">
        <w:rPr>
          <w:rFonts w:ascii="Times New Roman" w:hAnsi="Times New Roman"/>
          <w:sz w:val="28"/>
          <w:szCs w:val="28"/>
          <w:lang w:eastAsia="es-ES"/>
        </w:rPr>
        <w:t>de la Constitución</w:t>
      </w:r>
      <w:r w:rsidR="00FC11B3" w:rsidRPr="00CD542C">
        <w:rPr>
          <w:rFonts w:ascii="Times New Roman" w:hAnsi="Times New Roman"/>
          <w:sz w:val="28"/>
          <w:szCs w:val="28"/>
          <w:lang w:eastAsia="es-ES"/>
        </w:rPr>
        <w:t>.</w:t>
      </w:r>
    </w:p>
    <w:p w:rsidR="00184063" w:rsidRPr="00CD542C" w:rsidRDefault="00184063" w:rsidP="00CD542C">
      <w:pPr>
        <w:overflowPunct w:val="0"/>
        <w:autoSpaceDE w:val="0"/>
        <w:autoSpaceDN w:val="0"/>
        <w:spacing w:after="0" w:line="240" w:lineRule="auto"/>
        <w:jc w:val="both"/>
        <w:rPr>
          <w:rFonts w:ascii="Times New Roman" w:hAnsi="Times New Roman"/>
          <w:sz w:val="28"/>
          <w:szCs w:val="28"/>
          <w:lang w:eastAsia="es-ES"/>
        </w:rPr>
      </w:pPr>
    </w:p>
    <w:p w:rsidR="00656456" w:rsidRPr="00CD542C" w:rsidRDefault="00B27152" w:rsidP="00CD542C">
      <w:pPr>
        <w:spacing w:after="0" w:line="240" w:lineRule="auto"/>
        <w:ind w:right="40"/>
        <w:jc w:val="both"/>
        <w:rPr>
          <w:rFonts w:ascii="Times New Roman" w:hAnsi="Times New Roman"/>
          <w:sz w:val="28"/>
          <w:szCs w:val="28"/>
          <w:lang w:eastAsia="es-ES"/>
        </w:rPr>
      </w:pPr>
      <w:r w:rsidRPr="00CD542C">
        <w:rPr>
          <w:rFonts w:ascii="Times New Roman" w:hAnsi="Times New Roman"/>
          <w:sz w:val="28"/>
          <w:szCs w:val="28"/>
          <w:lang w:eastAsia="es-ES"/>
        </w:rPr>
        <w:t>E</w:t>
      </w:r>
      <w:r w:rsidR="00656456" w:rsidRPr="00CD542C">
        <w:rPr>
          <w:rFonts w:ascii="Times New Roman" w:hAnsi="Times New Roman"/>
          <w:sz w:val="28"/>
          <w:szCs w:val="28"/>
          <w:lang w:eastAsia="es-ES"/>
        </w:rPr>
        <w:t>l 30 de septiembre de 2015</w:t>
      </w:r>
      <w:r w:rsidRPr="00CD542C">
        <w:rPr>
          <w:rFonts w:ascii="Times New Roman" w:hAnsi="Times New Roman"/>
          <w:sz w:val="28"/>
          <w:szCs w:val="28"/>
          <w:lang w:eastAsia="es-ES"/>
        </w:rPr>
        <w:t>, la Sala Plena</w:t>
      </w:r>
      <w:r w:rsidR="00656456" w:rsidRPr="00CD542C">
        <w:rPr>
          <w:rFonts w:ascii="Times New Roman" w:hAnsi="Times New Roman"/>
          <w:sz w:val="28"/>
          <w:szCs w:val="28"/>
          <w:lang w:eastAsia="es-ES"/>
        </w:rPr>
        <w:t xml:space="preserve"> decidió acumular la presente </w:t>
      </w:r>
      <w:r w:rsidR="00184063" w:rsidRPr="00CD542C">
        <w:rPr>
          <w:rFonts w:ascii="Times New Roman" w:hAnsi="Times New Roman"/>
          <w:sz w:val="28"/>
          <w:szCs w:val="28"/>
          <w:lang w:eastAsia="es-ES"/>
        </w:rPr>
        <w:t xml:space="preserve">demanda </w:t>
      </w:r>
      <w:r w:rsidR="00656456" w:rsidRPr="00CD542C">
        <w:rPr>
          <w:rFonts w:ascii="Times New Roman" w:hAnsi="Times New Roman"/>
          <w:sz w:val="28"/>
          <w:szCs w:val="28"/>
          <w:lang w:eastAsia="es-ES"/>
        </w:rPr>
        <w:t xml:space="preserve">a los expedientes D-11021 y D-11028, ya que también demandaban algunas disposiciones </w:t>
      </w:r>
      <w:r w:rsidRPr="00CD542C">
        <w:rPr>
          <w:rFonts w:ascii="Times New Roman" w:hAnsi="Times New Roman"/>
          <w:sz w:val="28"/>
          <w:szCs w:val="28"/>
          <w:lang w:eastAsia="es-ES"/>
        </w:rPr>
        <w:t>de</w:t>
      </w:r>
      <w:r w:rsidR="00656456" w:rsidRPr="00CD542C">
        <w:rPr>
          <w:rFonts w:ascii="Times New Roman" w:hAnsi="Times New Roman"/>
          <w:sz w:val="28"/>
          <w:szCs w:val="28"/>
          <w:lang w:eastAsia="es-ES"/>
        </w:rPr>
        <w:t xml:space="preserve"> la Ley 1761 de 2015. </w:t>
      </w:r>
    </w:p>
    <w:p w:rsidR="00656456" w:rsidRPr="00CD542C" w:rsidRDefault="00656456" w:rsidP="00CD542C">
      <w:pPr>
        <w:spacing w:after="0" w:line="240" w:lineRule="auto"/>
        <w:ind w:right="40"/>
        <w:jc w:val="both"/>
        <w:rPr>
          <w:rFonts w:ascii="Times New Roman" w:hAnsi="Times New Roman"/>
          <w:sz w:val="28"/>
          <w:szCs w:val="28"/>
          <w:lang w:eastAsia="es-ES"/>
        </w:rPr>
      </w:pPr>
    </w:p>
    <w:p w:rsidR="0043520E" w:rsidRPr="00CD542C" w:rsidRDefault="00656456" w:rsidP="00CD542C">
      <w:pPr>
        <w:spacing w:after="0" w:line="240" w:lineRule="auto"/>
        <w:ind w:right="40"/>
        <w:jc w:val="both"/>
        <w:rPr>
          <w:rFonts w:ascii="Times New Roman" w:hAnsi="Times New Roman"/>
          <w:sz w:val="28"/>
          <w:szCs w:val="28"/>
          <w:lang w:eastAsia="es-ES"/>
        </w:rPr>
      </w:pPr>
      <w:r w:rsidRPr="00CD542C">
        <w:rPr>
          <w:rFonts w:ascii="Times New Roman" w:hAnsi="Times New Roman"/>
          <w:sz w:val="28"/>
          <w:szCs w:val="28"/>
          <w:lang w:eastAsia="es-ES"/>
        </w:rPr>
        <w:t xml:space="preserve">El </w:t>
      </w:r>
      <w:r w:rsidR="00A72CD8" w:rsidRPr="00CD542C">
        <w:rPr>
          <w:rFonts w:ascii="Times New Roman" w:hAnsi="Times New Roman"/>
          <w:sz w:val="28"/>
          <w:szCs w:val="28"/>
          <w:lang w:eastAsia="es-ES"/>
        </w:rPr>
        <w:t>19</w:t>
      </w:r>
      <w:r w:rsidR="00184063" w:rsidRPr="00CD542C">
        <w:rPr>
          <w:rFonts w:ascii="Times New Roman" w:hAnsi="Times New Roman"/>
          <w:sz w:val="28"/>
          <w:szCs w:val="28"/>
          <w:lang w:eastAsia="es-ES"/>
        </w:rPr>
        <w:t xml:space="preserve"> de </w:t>
      </w:r>
      <w:r w:rsidR="00A72CD8" w:rsidRPr="00CD542C">
        <w:rPr>
          <w:rFonts w:ascii="Times New Roman" w:hAnsi="Times New Roman"/>
          <w:sz w:val="28"/>
          <w:szCs w:val="28"/>
          <w:lang w:eastAsia="es-ES"/>
        </w:rPr>
        <w:t xml:space="preserve">octubre </w:t>
      </w:r>
      <w:r w:rsidRPr="00CD542C">
        <w:rPr>
          <w:rFonts w:ascii="Times New Roman" w:hAnsi="Times New Roman"/>
          <w:sz w:val="28"/>
          <w:szCs w:val="28"/>
          <w:lang w:eastAsia="es-ES"/>
        </w:rPr>
        <w:t>de 2015</w:t>
      </w:r>
      <w:r w:rsidR="0043520E" w:rsidRPr="00CD542C">
        <w:rPr>
          <w:rFonts w:ascii="Times New Roman" w:hAnsi="Times New Roman"/>
          <w:sz w:val="28"/>
          <w:szCs w:val="28"/>
          <w:lang w:eastAsia="es-ES"/>
        </w:rPr>
        <w:t>,</w:t>
      </w:r>
      <w:r w:rsidR="00760558" w:rsidRPr="00CD542C">
        <w:rPr>
          <w:rFonts w:ascii="Times New Roman" w:hAnsi="Times New Roman"/>
          <w:sz w:val="28"/>
          <w:szCs w:val="28"/>
          <w:lang w:eastAsia="es-ES"/>
        </w:rPr>
        <w:t xml:space="preserve"> la M</w:t>
      </w:r>
      <w:r w:rsidR="00ED432D" w:rsidRPr="00CD542C">
        <w:rPr>
          <w:rFonts w:ascii="Times New Roman" w:hAnsi="Times New Roman"/>
          <w:sz w:val="28"/>
          <w:szCs w:val="28"/>
          <w:lang w:eastAsia="es-ES"/>
        </w:rPr>
        <w:t>agistrada ponente</w:t>
      </w:r>
      <w:r w:rsidRPr="00CD542C">
        <w:rPr>
          <w:rFonts w:ascii="Times New Roman" w:hAnsi="Times New Roman"/>
          <w:sz w:val="28"/>
          <w:szCs w:val="28"/>
          <w:lang w:eastAsia="es-ES"/>
        </w:rPr>
        <w:t xml:space="preserve"> </w:t>
      </w:r>
      <w:r w:rsidR="00ED432D" w:rsidRPr="00CD542C">
        <w:rPr>
          <w:rFonts w:ascii="Times New Roman" w:hAnsi="Times New Roman"/>
          <w:sz w:val="28"/>
          <w:szCs w:val="28"/>
          <w:lang w:eastAsia="es-ES"/>
        </w:rPr>
        <w:t xml:space="preserve">inadmitió </w:t>
      </w:r>
      <w:r w:rsidRPr="00CD542C">
        <w:rPr>
          <w:rFonts w:ascii="Times New Roman" w:hAnsi="Times New Roman"/>
          <w:sz w:val="28"/>
          <w:szCs w:val="28"/>
          <w:lang w:eastAsia="es-ES"/>
        </w:rPr>
        <w:t xml:space="preserve">las demandas </w:t>
      </w:r>
      <w:r w:rsidR="0043520E" w:rsidRPr="00CD542C">
        <w:rPr>
          <w:rFonts w:ascii="Times New Roman" w:hAnsi="Times New Roman"/>
          <w:sz w:val="28"/>
          <w:szCs w:val="28"/>
          <w:lang w:eastAsia="es-ES"/>
        </w:rPr>
        <w:t xml:space="preserve">de inconstitucionalidad contenidas en los expedientes D-11021 y D-11028, ya que no cumplían los requisitos </w:t>
      </w:r>
      <w:r w:rsidR="00151212" w:rsidRPr="00CD542C">
        <w:rPr>
          <w:rFonts w:ascii="Times New Roman" w:hAnsi="Times New Roman"/>
          <w:sz w:val="28"/>
          <w:szCs w:val="28"/>
          <w:lang w:eastAsia="es-ES"/>
        </w:rPr>
        <w:t xml:space="preserve">previstos </w:t>
      </w:r>
      <w:r w:rsidR="0043520E" w:rsidRPr="00CD542C">
        <w:rPr>
          <w:rFonts w:ascii="Times New Roman" w:hAnsi="Times New Roman"/>
          <w:sz w:val="28"/>
          <w:szCs w:val="28"/>
          <w:lang w:eastAsia="es-ES"/>
        </w:rPr>
        <w:t>en el Decreto 2067 de 1991</w:t>
      </w:r>
      <w:r w:rsidR="00151212" w:rsidRPr="00CD542C">
        <w:rPr>
          <w:rFonts w:ascii="Times New Roman" w:hAnsi="Times New Roman"/>
          <w:sz w:val="28"/>
          <w:szCs w:val="28"/>
          <w:lang w:eastAsia="es-ES"/>
        </w:rPr>
        <w:t xml:space="preserve"> para presentar una demanda de inconstitucionalidad y se concedió tres días a los demandantes para corregir la demanda</w:t>
      </w:r>
      <w:r w:rsidR="0043520E" w:rsidRPr="00CD542C">
        <w:rPr>
          <w:rFonts w:ascii="Times New Roman" w:hAnsi="Times New Roman"/>
          <w:sz w:val="28"/>
          <w:szCs w:val="28"/>
          <w:lang w:eastAsia="es-ES"/>
        </w:rPr>
        <w:t>.</w:t>
      </w:r>
      <w:r w:rsidR="00151212" w:rsidRPr="00CD542C">
        <w:rPr>
          <w:rFonts w:ascii="Times New Roman" w:hAnsi="Times New Roman"/>
          <w:sz w:val="28"/>
          <w:szCs w:val="28"/>
          <w:lang w:eastAsia="es-ES"/>
        </w:rPr>
        <w:t xml:space="preserve"> </w:t>
      </w:r>
      <w:r w:rsidR="0043520E" w:rsidRPr="00CD542C">
        <w:rPr>
          <w:rFonts w:ascii="Times New Roman" w:hAnsi="Times New Roman"/>
          <w:sz w:val="28"/>
          <w:szCs w:val="28"/>
          <w:lang w:eastAsia="es-ES"/>
        </w:rPr>
        <w:t xml:space="preserve">No obstante, </w:t>
      </w:r>
      <w:r w:rsidR="00151212" w:rsidRPr="00CD542C">
        <w:rPr>
          <w:rFonts w:ascii="Times New Roman" w:hAnsi="Times New Roman"/>
          <w:sz w:val="28"/>
          <w:szCs w:val="28"/>
          <w:lang w:eastAsia="es-ES"/>
        </w:rPr>
        <w:t xml:space="preserve">en ese mismo auto </w:t>
      </w:r>
      <w:r w:rsidR="0043520E" w:rsidRPr="00CD542C">
        <w:rPr>
          <w:rFonts w:ascii="Times New Roman" w:hAnsi="Times New Roman"/>
          <w:sz w:val="28"/>
          <w:szCs w:val="28"/>
          <w:lang w:eastAsia="es-ES"/>
        </w:rPr>
        <w:t xml:space="preserve">admitió la </w:t>
      </w:r>
      <w:r w:rsidR="00151212" w:rsidRPr="00CD542C">
        <w:rPr>
          <w:rFonts w:ascii="Times New Roman" w:hAnsi="Times New Roman"/>
          <w:sz w:val="28"/>
          <w:szCs w:val="28"/>
          <w:lang w:eastAsia="es-ES"/>
        </w:rPr>
        <w:t xml:space="preserve">acción </w:t>
      </w:r>
      <w:r w:rsidR="0043520E" w:rsidRPr="00CD542C">
        <w:rPr>
          <w:rFonts w:ascii="Times New Roman" w:hAnsi="Times New Roman"/>
          <w:sz w:val="28"/>
          <w:szCs w:val="28"/>
          <w:lang w:eastAsia="es-ES"/>
        </w:rPr>
        <w:t xml:space="preserve">presentada por el señor </w:t>
      </w:r>
      <w:r w:rsidR="00ED432D" w:rsidRPr="00CD542C">
        <w:rPr>
          <w:rFonts w:ascii="Times New Roman" w:hAnsi="Times New Roman"/>
          <w:sz w:val="28"/>
          <w:szCs w:val="28"/>
          <w:lang w:eastAsia="es-ES"/>
        </w:rPr>
        <w:t xml:space="preserve">Juan Sebastián </w:t>
      </w:r>
      <w:r w:rsidR="0043520E" w:rsidRPr="00CD542C">
        <w:rPr>
          <w:rFonts w:ascii="Times New Roman" w:hAnsi="Times New Roman"/>
          <w:sz w:val="28"/>
          <w:szCs w:val="28"/>
          <w:lang w:eastAsia="es-ES"/>
        </w:rPr>
        <w:t>Bautista Pulido en contra del litera</w:t>
      </w:r>
      <w:r w:rsidR="00151212" w:rsidRPr="00CD542C">
        <w:rPr>
          <w:rFonts w:ascii="Times New Roman" w:hAnsi="Times New Roman"/>
          <w:sz w:val="28"/>
          <w:szCs w:val="28"/>
          <w:lang w:eastAsia="es-ES"/>
        </w:rPr>
        <w:t>l</w:t>
      </w:r>
      <w:r w:rsidR="0043520E" w:rsidRPr="00CD542C">
        <w:rPr>
          <w:rFonts w:ascii="Times New Roman" w:hAnsi="Times New Roman"/>
          <w:sz w:val="28"/>
          <w:szCs w:val="28"/>
          <w:lang w:eastAsia="es-ES"/>
        </w:rPr>
        <w:t xml:space="preserve"> e</w:t>
      </w:r>
      <w:r w:rsidR="00760558" w:rsidRPr="00CD542C">
        <w:rPr>
          <w:rFonts w:ascii="Times New Roman" w:hAnsi="Times New Roman"/>
          <w:sz w:val="28"/>
          <w:szCs w:val="28"/>
          <w:lang w:eastAsia="es-ES"/>
        </w:rPr>
        <w:t>)</w:t>
      </w:r>
      <w:r w:rsidR="0043520E" w:rsidRPr="00CD542C">
        <w:rPr>
          <w:rFonts w:ascii="Times New Roman" w:hAnsi="Times New Roman"/>
          <w:sz w:val="28"/>
          <w:szCs w:val="28"/>
          <w:lang w:eastAsia="es-ES"/>
        </w:rPr>
        <w:t xml:space="preserve"> del artículo 2º (parcial) de la Ley 1761 de 2015. </w:t>
      </w:r>
    </w:p>
    <w:p w:rsidR="0043520E" w:rsidRPr="00CD542C" w:rsidRDefault="0043520E" w:rsidP="00CD542C">
      <w:pPr>
        <w:spacing w:after="0" w:line="240" w:lineRule="auto"/>
        <w:ind w:right="40"/>
        <w:jc w:val="both"/>
        <w:rPr>
          <w:rFonts w:ascii="Times New Roman" w:hAnsi="Times New Roman"/>
          <w:sz w:val="28"/>
          <w:szCs w:val="28"/>
          <w:lang w:eastAsia="es-ES"/>
        </w:rPr>
      </w:pPr>
    </w:p>
    <w:p w:rsidR="00184063" w:rsidRPr="00CD542C" w:rsidRDefault="0043520E" w:rsidP="00CD542C">
      <w:pPr>
        <w:spacing w:after="0" w:line="240" w:lineRule="auto"/>
        <w:ind w:right="40"/>
        <w:jc w:val="both"/>
        <w:rPr>
          <w:rFonts w:ascii="Times New Roman" w:hAnsi="Times New Roman"/>
          <w:sz w:val="28"/>
          <w:szCs w:val="28"/>
          <w:lang w:eastAsia="es-ES"/>
        </w:rPr>
      </w:pPr>
      <w:r w:rsidRPr="00CD542C">
        <w:rPr>
          <w:rFonts w:ascii="Times New Roman" w:hAnsi="Times New Roman"/>
          <w:sz w:val="28"/>
          <w:szCs w:val="28"/>
          <w:lang w:eastAsia="es-ES"/>
        </w:rPr>
        <w:t xml:space="preserve">Mediante auto del 11 de noviembre de 2015, </w:t>
      </w:r>
      <w:r w:rsidR="00ED432D" w:rsidRPr="00CD542C">
        <w:rPr>
          <w:rFonts w:ascii="Times New Roman" w:hAnsi="Times New Roman"/>
          <w:sz w:val="28"/>
          <w:szCs w:val="28"/>
          <w:lang w:eastAsia="es-ES"/>
        </w:rPr>
        <w:t xml:space="preserve">se </w:t>
      </w:r>
      <w:r w:rsidR="00184063" w:rsidRPr="00CD542C">
        <w:rPr>
          <w:rFonts w:ascii="Times New Roman" w:hAnsi="Times New Roman"/>
          <w:sz w:val="28"/>
          <w:szCs w:val="28"/>
          <w:lang w:eastAsia="es-ES"/>
        </w:rPr>
        <w:t xml:space="preserve">ordenó: (i) </w:t>
      </w:r>
      <w:r w:rsidRPr="00CD542C">
        <w:rPr>
          <w:rFonts w:ascii="Times New Roman" w:hAnsi="Times New Roman"/>
          <w:sz w:val="28"/>
          <w:szCs w:val="28"/>
          <w:lang w:eastAsia="es-ES"/>
        </w:rPr>
        <w:t>rechazar y archivar las demandas de inconstitucionalidad contenidas en los expedientes D-11021 y D-11028</w:t>
      </w:r>
      <w:r w:rsidR="00760558" w:rsidRPr="00CD542C">
        <w:rPr>
          <w:rFonts w:ascii="Times New Roman" w:hAnsi="Times New Roman"/>
          <w:sz w:val="28"/>
          <w:szCs w:val="28"/>
          <w:lang w:eastAsia="es-ES"/>
        </w:rPr>
        <w:t xml:space="preserve">, </w:t>
      </w:r>
      <w:r w:rsidR="00B27BA6" w:rsidRPr="00CD542C">
        <w:rPr>
          <w:rFonts w:ascii="Times New Roman" w:hAnsi="Times New Roman"/>
          <w:sz w:val="28"/>
          <w:szCs w:val="28"/>
          <w:lang w:eastAsia="es-ES"/>
        </w:rPr>
        <w:t>como quiera</w:t>
      </w:r>
      <w:r w:rsidR="00ED432D" w:rsidRPr="00CD542C">
        <w:rPr>
          <w:rFonts w:ascii="Times New Roman" w:hAnsi="Times New Roman"/>
          <w:sz w:val="28"/>
          <w:szCs w:val="28"/>
          <w:lang w:eastAsia="es-ES"/>
        </w:rPr>
        <w:t xml:space="preserve"> que el término para presentar las correcciones venció en silencio</w:t>
      </w:r>
      <w:r w:rsidR="00184063" w:rsidRPr="00CD542C">
        <w:rPr>
          <w:rFonts w:ascii="Times New Roman" w:hAnsi="Times New Roman"/>
          <w:sz w:val="28"/>
          <w:szCs w:val="28"/>
          <w:lang w:eastAsia="es-ES"/>
        </w:rPr>
        <w:t xml:space="preserve">; (ii) </w:t>
      </w:r>
      <w:r w:rsidR="004A2272" w:rsidRPr="00CD542C">
        <w:rPr>
          <w:rFonts w:ascii="Times New Roman" w:hAnsi="Times New Roman"/>
          <w:sz w:val="28"/>
          <w:szCs w:val="28"/>
          <w:lang w:eastAsia="es-ES"/>
        </w:rPr>
        <w:t>continuar con el trámite de la demanda presentada por Juan Sebastián Bautista</w:t>
      </w:r>
      <w:r w:rsidR="00ED432D" w:rsidRPr="00CD542C">
        <w:rPr>
          <w:rFonts w:ascii="Times New Roman" w:hAnsi="Times New Roman"/>
          <w:sz w:val="28"/>
          <w:szCs w:val="28"/>
          <w:lang w:eastAsia="es-ES"/>
        </w:rPr>
        <w:t xml:space="preserve"> Pulido</w:t>
      </w:r>
      <w:r w:rsidR="004A2272" w:rsidRPr="00CD542C">
        <w:rPr>
          <w:rFonts w:ascii="Times New Roman" w:hAnsi="Times New Roman"/>
          <w:sz w:val="28"/>
          <w:szCs w:val="28"/>
          <w:lang w:eastAsia="es-ES"/>
        </w:rPr>
        <w:t xml:space="preserve"> contra el literal e</w:t>
      </w:r>
      <w:r w:rsidR="00760558" w:rsidRPr="00CD542C">
        <w:rPr>
          <w:rFonts w:ascii="Times New Roman" w:hAnsi="Times New Roman"/>
          <w:sz w:val="28"/>
          <w:szCs w:val="28"/>
          <w:lang w:eastAsia="es-ES"/>
        </w:rPr>
        <w:t>)</w:t>
      </w:r>
      <w:r w:rsidR="004A2272" w:rsidRPr="00CD542C">
        <w:rPr>
          <w:rFonts w:ascii="Times New Roman" w:hAnsi="Times New Roman"/>
          <w:sz w:val="28"/>
          <w:szCs w:val="28"/>
          <w:lang w:eastAsia="es-ES"/>
        </w:rPr>
        <w:t xml:space="preserve"> del artículo 2º de la Ley 17</w:t>
      </w:r>
      <w:r w:rsidR="00E609C6" w:rsidRPr="00CD542C">
        <w:rPr>
          <w:rFonts w:ascii="Times New Roman" w:hAnsi="Times New Roman"/>
          <w:sz w:val="28"/>
          <w:szCs w:val="28"/>
          <w:lang w:eastAsia="es-ES"/>
        </w:rPr>
        <w:t>6</w:t>
      </w:r>
      <w:r w:rsidR="004A2272" w:rsidRPr="00CD542C">
        <w:rPr>
          <w:rFonts w:ascii="Times New Roman" w:hAnsi="Times New Roman"/>
          <w:sz w:val="28"/>
          <w:szCs w:val="28"/>
          <w:lang w:eastAsia="es-ES"/>
        </w:rPr>
        <w:t xml:space="preserve">1 de 2015; (iii) comunicar </w:t>
      </w:r>
      <w:r w:rsidR="009E7886" w:rsidRPr="00CD542C">
        <w:rPr>
          <w:rFonts w:ascii="Times New Roman" w:hAnsi="Times New Roman"/>
          <w:sz w:val="28"/>
          <w:szCs w:val="28"/>
          <w:lang w:eastAsia="es-ES"/>
        </w:rPr>
        <w:t>el inicio del proceso al Presidente de la República, al Presidente del Congreso, al Minis</w:t>
      </w:r>
      <w:r w:rsidR="00B27BA6" w:rsidRPr="00CD542C">
        <w:rPr>
          <w:rFonts w:ascii="Times New Roman" w:hAnsi="Times New Roman"/>
          <w:sz w:val="28"/>
          <w:szCs w:val="28"/>
          <w:lang w:eastAsia="es-ES"/>
        </w:rPr>
        <w:t>terio de Justicia y del Derecho</w:t>
      </w:r>
      <w:r w:rsidR="009E7886" w:rsidRPr="00CD542C">
        <w:rPr>
          <w:rFonts w:ascii="Times New Roman" w:hAnsi="Times New Roman"/>
          <w:sz w:val="28"/>
          <w:szCs w:val="28"/>
          <w:lang w:eastAsia="es-ES"/>
        </w:rPr>
        <w:t xml:space="preserve"> y a la Defensoría del Pu</w:t>
      </w:r>
      <w:r w:rsidR="000478B2" w:rsidRPr="00CD542C">
        <w:rPr>
          <w:rFonts w:ascii="Times New Roman" w:hAnsi="Times New Roman"/>
          <w:sz w:val="28"/>
          <w:szCs w:val="28"/>
          <w:lang w:eastAsia="es-ES"/>
        </w:rPr>
        <w:t>eblo, para que, si lo consideraban oportuno, realizarán</w:t>
      </w:r>
      <w:r w:rsidR="009E7886" w:rsidRPr="00CD542C">
        <w:rPr>
          <w:rFonts w:ascii="Times New Roman" w:hAnsi="Times New Roman"/>
          <w:sz w:val="28"/>
          <w:szCs w:val="28"/>
          <w:lang w:eastAsia="es-ES"/>
        </w:rPr>
        <w:t xml:space="preserve"> la correspondiente intervención</w:t>
      </w:r>
      <w:r w:rsidR="004A2272" w:rsidRPr="00CD542C">
        <w:rPr>
          <w:rFonts w:ascii="Times New Roman" w:hAnsi="Times New Roman"/>
          <w:sz w:val="28"/>
          <w:szCs w:val="28"/>
          <w:lang w:eastAsia="es-ES"/>
        </w:rPr>
        <w:t>;</w:t>
      </w:r>
      <w:r w:rsidR="009E7886" w:rsidRPr="00CD542C">
        <w:rPr>
          <w:rFonts w:ascii="Times New Roman" w:hAnsi="Times New Roman"/>
          <w:sz w:val="28"/>
          <w:szCs w:val="28"/>
          <w:lang w:eastAsia="es-ES"/>
        </w:rPr>
        <w:t xml:space="preserve"> </w:t>
      </w:r>
      <w:r w:rsidR="004A2272" w:rsidRPr="00CD542C">
        <w:rPr>
          <w:rFonts w:ascii="Times New Roman" w:hAnsi="Times New Roman"/>
          <w:sz w:val="28"/>
          <w:szCs w:val="28"/>
          <w:lang w:eastAsia="es-ES"/>
        </w:rPr>
        <w:t xml:space="preserve">(iv) </w:t>
      </w:r>
      <w:r w:rsidR="00184063" w:rsidRPr="00CD542C">
        <w:rPr>
          <w:rFonts w:ascii="Times New Roman" w:hAnsi="Times New Roman"/>
          <w:sz w:val="28"/>
          <w:szCs w:val="28"/>
          <w:lang w:eastAsia="es-ES"/>
        </w:rPr>
        <w:t>invi</w:t>
      </w:r>
      <w:r w:rsidR="009E7886" w:rsidRPr="00CD542C">
        <w:rPr>
          <w:rFonts w:ascii="Times New Roman" w:hAnsi="Times New Roman"/>
          <w:sz w:val="28"/>
          <w:szCs w:val="28"/>
          <w:lang w:eastAsia="es-ES"/>
        </w:rPr>
        <w:t>tar a diferentes organizaciones, para que</w:t>
      </w:r>
      <w:r w:rsidR="00184063" w:rsidRPr="00CD542C">
        <w:rPr>
          <w:rFonts w:ascii="Times New Roman" w:hAnsi="Times New Roman"/>
          <w:sz w:val="28"/>
          <w:szCs w:val="28"/>
          <w:lang w:val="es-MX" w:eastAsia="es-ES"/>
        </w:rPr>
        <w:t xml:space="preserve"> si lo consideraban pertinente, se pronunci</w:t>
      </w:r>
      <w:r w:rsidR="00ED432D" w:rsidRPr="00CD542C">
        <w:rPr>
          <w:rFonts w:ascii="Times New Roman" w:hAnsi="Times New Roman"/>
          <w:sz w:val="28"/>
          <w:szCs w:val="28"/>
          <w:lang w:val="es-MX" w:eastAsia="es-ES"/>
        </w:rPr>
        <w:t>aran</w:t>
      </w:r>
      <w:r w:rsidR="00184063" w:rsidRPr="00CD542C">
        <w:rPr>
          <w:rFonts w:ascii="Times New Roman" w:hAnsi="Times New Roman"/>
          <w:sz w:val="28"/>
          <w:szCs w:val="28"/>
          <w:lang w:val="es-MX" w:eastAsia="es-ES"/>
        </w:rPr>
        <w:t xml:space="preserve"> sobre la constitucionalidad de la norma parcialmente demandada; (</w:t>
      </w:r>
      <w:r w:rsidR="004A2272" w:rsidRPr="00CD542C">
        <w:rPr>
          <w:rFonts w:ascii="Times New Roman" w:hAnsi="Times New Roman"/>
          <w:sz w:val="28"/>
          <w:szCs w:val="28"/>
          <w:lang w:val="es-MX" w:eastAsia="es-ES"/>
        </w:rPr>
        <w:t>v</w:t>
      </w:r>
      <w:r w:rsidR="00184063" w:rsidRPr="00CD542C">
        <w:rPr>
          <w:rFonts w:ascii="Times New Roman" w:hAnsi="Times New Roman"/>
          <w:sz w:val="28"/>
          <w:szCs w:val="28"/>
          <w:lang w:val="es-MX" w:eastAsia="es-ES"/>
        </w:rPr>
        <w:t>) fijar en lista la norma acusada para garantizar la intervención ciudadana; y (v</w:t>
      </w:r>
      <w:r w:rsidR="004A2272" w:rsidRPr="00CD542C">
        <w:rPr>
          <w:rFonts w:ascii="Times New Roman" w:hAnsi="Times New Roman"/>
          <w:sz w:val="28"/>
          <w:szCs w:val="28"/>
          <w:lang w:val="es-MX" w:eastAsia="es-ES"/>
        </w:rPr>
        <w:t>i</w:t>
      </w:r>
      <w:r w:rsidR="00184063" w:rsidRPr="00CD542C">
        <w:rPr>
          <w:rFonts w:ascii="Times New Roman" w:hAnsi="Times New Roman"/>
          <w:sz w:val="28"/>
          <w:szCs w:val="28"/>
          <w:lang w:val="es-MX" w:eastAsia="es-ES"/>
        </w:rPr>
        <w:t>) correr traslado al señor Procurador General de la Nación, para lo de su competencia.</w:t>
      </w:r>
    </w:p>
    <w:p w:rsidR="00184063" w:rsidRPr="00CD542C" w:rsidRDefault="00184063" w:rsidP="00CD542C">
      <w:pPr>
        <w:spacing w:after="0" w:line="240" w:lineRule="auto"/>
        <w:ind w:right="40"/>
        <w:jc w:val="both"/>
        <w:rPr>
          <w:rFonts w:ascii="Times New Roman" w:hAnsi="Times New Roman"/>
          <w:sz w:val="28"/>
          <w:szCs w:val="28"/>
          <w:lang w:val="es-MX" w:eastAsia="es-ES"/>
        </w:rPr>
      </w:pPr>
    </w:p>
    <w:p w:rsidR="00184063" w:rsidRPr="00CD542C" w:rsidRDefault="00184063" w:rsidP="00CD542C">
      <w:pPr>
        <w:spacing w:after="0" w:line="240" w:lineRule="auto"/>
        <w:ind w:right="40"/>
        <w:jc w:val="both"/>
        <w:outlineLvl w:val="0"/>
        <w:rPr>
          <w:rFonts w:ascii="Times New Roman" w:hAnsi="Times New Roman"/>
          <w:sz w:val="28"/>
          <w:szCs w:val="28"/>
          <w:lang w:eastAsia="es-ES"/>
        </w:rPr>
      </w:pPr>
      <w:r w:rsidRPr="00CD542C">
        <w:rPr>
          <w:rFonts w:ascii="Times New Roman" w:hAnsi="Times New Roman"/>
          <w:sz w:val="28"/>
          <w:szCs w:val="28"/>
          <w:lang w:eastAsia="es-ES"/>
        </w:rPr>
        <w:t>Cumplidos los trámites constitucionales y legales propios de esta clase de juicios y previo concepto del Procurador General de la Nación, procede la Corte a decidir de fondo la demanda en referencia.</w:t>
      </w:r>
    </w:p>
    <w:p w:rsidR="00184063" w:rsidRPr="00CD542C" w:rsidRDefault="00184063" w:rsidP="00CD542C">
      <w:pPr>
        <w:spacing w:after="0" w:line="240" w:lineRule="auto"/>
        <w:jc w:val="both"/>
        <w:rPr>
          <w:rFonts w:ascii="Times New Roman" w:hAnsi="Times New Roman"/>
          <w:sz w:val="28"/>
          <w:szCs w:val="28"/>
          <w:lang w:eastAsia="es-ES"/>
        </w:rPr>
      </w:pPr>
    </w:p>
    <w:p w:rsidR="00184063" w:rsidRPr="00CD542C" w:rsidRDefault="00184063" w:rsidP="00CD542C">
      <w:pPr>
        <w:numPr>
          <w:ilvl w:val="0"/>
          <w:numId w:val="1"/>
        </w:numPr>
        <w:spacing w:after="0" w:line="240" w:lineRule="auto"/>
        <w:ind w:right="45"/>
        <w:jc w:val="both"/>
        <w:rPr>
          <w:rFonts w:ascii="Times New Roman" w:hAnsi="Times New Roman"/>
          <w:b/>
          <w:bCs/>
          <w:sz w:val="28"/>
          <w:szCs w:val="28"/>
          <w:lang w:val="es-MX" w:eastAsia="es-ES"/>
        </w:rPr>
      </w:pPr>
      <w:r w:rsidRPr="00CD542C">
        <w:rPr>
          <w:rFonts w:ascii="Times New Roman" w:hAnsi="Times New Roman"/>
          <w:b/>
          <w:bCs/>
          <w:sz w:val="28"/>
          <w:szCs w:val="28"/>
          <w:lang w:val="es-MX" w:eastAsia="es-ES"/>
        </w:rPr>
        <w:t xml:space="preserve"> TEXTO DE LA NORMA DEMANDADA</w:t>
      </w:r>
    </w:p>
    <w:p w:rsidR="00184063" w:rsidRPr="00CD542C" w:rsidRDefault="00184063" w:rsidP="00CD542C">
      <w:pPr>
        <w:spacing w:after="0" w:line="240" w:lineRule="auto"/>
        <w:ind w:left="1080" w:right="45"/>
        <w:jc w:val="both"/>
        <w:rPr>
          <w:rFonts w:ascii="Times New Roman" w:hAnsi="Times New Roman"/>
          <w:b/>
          <w:bCs/>
          <w:sz w:val="28"/>
          <w:szCs w:val="28"/>
          <w:lang w:val="es-MX" w:eastAsia="es-ES"/>
        </w:rPr>
      </w:pPr>
    </w:p>
    <w:p w:rsidR="00184063" w:rsidRPr="00CD542C" w:rsidRDefault="00184063" w:rsidP="00CD542C">
      <w:pPr>
        <w:spacing w:after="0" w:line="240" w:lineRule="auto"/>
        <w:ind w:right="40"/>
        <w:jc w:val="both"/>
        <w:rPr>
          <w:rFonts w:ascii="Times New Roman" w:hAnsi="Times New Roman"/>
          <w:sz w:val="28"/>
          <w:szCs w:val="28"/>
          <w:lang w:val="es-MX" w:eastAsia="es-ES"/>
        </w:rPr>
      </w:pPr>
      <w:r w:rsidRPr="00CD542C">
        <w:rPr>
          <w:rFonts w:ascii="Times New Roman" w:hAnsi="Times New Roman"/>
          <w:sz w:val="28"/>
          <w:szCs w:val="28"/>
          <w:lang w:val="es-MX" w:eastAsia="es-ES"/>
        </w:rPr>
        <w:t>A continuación se transcribe el</w:t>
      </w:r>
      <w:r w:rsidRPr="00CD542C">
        <w:rPr>
          <w:rFonts w:ascii="Times New Roman" w:hAnsi="Times New Roman"/>
          <w:sz w:val="28"/>
          <w:szCs w:val="28"/>
          <w:lang w:val="es-ES_tradnl" w:eastAsia="es-ES"/>
        </w:rPr>
        <w:t xml:space="preserve"> artículo </w:t>
      </w:r>
      <w:r w:rsidR="009E7886" w:rsidRPr="00CD542C">
        <w:rPr>
          <w:rFonts w:ascii="Times New Roman" w:hAnsi="Times New Roman"/>
          <w:sz w:val="28"/>
          <w:szCs w:val="28"/>
          <w:lang w:val="es-ES_tradnl" w:eastAsia="es-ES"/>
        </w:rPr>
        <w:t>2º</w:t>
      </w:r>
      <w:r w:rsidRPr="00CD542C">
        <w:rPr>
          <w:rFonts w:ascii="Times New Roman" w:hAnsi="Times New Roman"/>
          <w:sz w:val="28"/>
          <w:szCs w:val="28"/>
          <w:lang w:val="es-ES_tradnl" w:eastAsia="es-ES"/>
        </w:rPr>
        <w:t xml:space="preserve"> de la Ley 1</w:t>
      </w:r>
      <w:r w:rsidR="00E609C6" w:rsidRPr="00CD542C">
        <w:rPr>
          <w:rFonts w:ascii="Times New Roman" w:hAnsi="Times New Roman"/>
          <w:sz w:val="28"/>
          <w:szCs w:val="28"/>
          <w:lang w:val="es-ES_tradnl" w:eastAsia="es-ES"/>
        </w:rPr>
        <w:t>761</w:t>
      </w:r>
      <w:r w:rsidRPr="00CD542C">
        <w:rPr>
          <w:rFonts w:ascii="Times New Roman" w:hAnsi="Times New Roman"/>
          <w:sz w:val="28"/>
          <w:szCs w:val="28"/>
          <w:lang w:val="es-ES_tradnl" w:eastAsia="es-ES"/>
        </w:rPr>
        <w:t xml:space="preserve"> de 201</w:t>
      </w:r>
      <w:r w:rsidR="00E609C6" w:rsidRPr="00CD542C">
        <w:rPr>
          <w:rFonts w:ascii="Times New Roman" w:hAnsi="Times New Roman"/>
          <w:sz w:val="28"/>
          <w:szCs w:val="28"/>
          <w:lang w:val="es-ES_tradnl" w:eastAsia="es-ES"/>
        </w:rPr>
        <w:t>5</w:t>
      </w:r>
      <w:r w:rsidRPr="00CD542C">
        <w:rPr>
          <w:rFonts w:ascii="Times New Roman" w:hAnsi="Times New Roman"/>
          <w:sz w:val="28"/>
          <w:szCs w:val="28"/>
          <w:lang w:val="es-ES_tradnl" w:eastAsia="es-ES"/>
        </w:rPr>
        <w:t xml:space="preserve"> </w:t>
      </w:r>
      <w:r w:rsidR="00E609C6" w:rsidRPr="00CD542C">
        <w:rPr>
          <w:rFonts w:ascii="Times New Roman" w:hAnsi="Times New Roman"/>
          <w:i/>
          <w:sz w:val="28"/>
          <w:szCs w:val="28"/>
          <w:lang w:val="es-ES_tradnl" w:eastAsia="es-ES"/>
        </w:rPr>
        <w:t>“</w:t>
      </w:r>
      <w:r w:rsidR="00E609C6" w:rsidRPr="00CD542C">
        <w:rPr>
          <w:rFonts w:ascii="Times New Roman" w:hAnsi="Times New Roman"/>
          <w:i/>
          <w:sz w:val="28"/>
          <w:szCs w:val="28"/>
        </w:rPr>
        <w:t>por la cual se crea el tipo penal de feminicidio como delito autónomo y se dictan otras disposiciones</w:t>
      </w:r>
      <w:r w:rsidR="00E609C6" w:rsidRPr="00CD542C">
        <w:rPr>
          <w:rFonts w:ascii="Times New Roman" w:hAnsi="Times New Roman"/>
          <w:i/>
          <w:sz w:val="28"/>
          <w:szCs w:val="28"/>
          <w:lang w:val="es-ES_tradnl" w:eastAsia="es-ES"/>
        </w:rPr>
        <w:t>”</w:t>
      </w:r>
      <w:r w:rsidR="00E609C6" w:rsidRPr="00CD542C">
        <w:rPr>
          <w:rFonts w:ascii="Times New Roman" w:hAnsi="Times New Roman"/>
          <w:sz w:val="28"/>
          <w:szCs w:val="28"/>
          <w:lang w:val="es-ES_tradnl" w:eastAsia="es-ES"/>
        </w:rPr>
        <w:t xml:space="preserve"> </w:t>
      </w:r>
      <w:r w:rsidR="00E609C6" w:rsidRPr="00CD542C">
        <w:rPr>
          <w:rFonts w:ascii="Times New Roman" w:hAnsi="Times New Roman"/>
          <w:i/>
          <w:sz w:val="28"/>
          <w:szCs w:val="28"/>
          <w:lang w:val="es-ES_tradnl" w:eastAsia="es-ES"/>
        </w:rPr>
        <w:t xml:space="preserve">(Rosa Elvira Cely) </w:t>
      </w:r>
      <w:r w:rsidRPr="00CD542C">
        <w:rPr>
          <w:rFonts w:ascii="Times New Roman" w:hAnsi="Times New Roman"/>
          <w:sz w:val="28"/>
          <w:szCs w:val="28"/>
          <w:lang w:val="es-MX" w:eastAsia="es-ES"/>
        </w:rPr>
        <w:t>y se s</w:t>
      </w:r>
      <w:r w:rsidR="00B27BA6" w:rsidRPr="00CD542C">
        <w:rPr>
          <w:rFonts w:ascii="Times New Roman" w:hAnsi="Times New Roman"/>
          <w:sz w:val="28"/>
          <w:szCs w:val="28"/>
          <w:lang w:val="es-MX" w:eastAsia="es-ES"/>
        </w:rPr>
        <w:t>ubraya la expresión objeto de</w:t>
      </w:r>
      <w:r w:rsidRPr="00CD542C">
        <w:rPr>
          <w:rFonts w:ascii="Times New Roman" w:hAnsi="Times New Roman"/>
          <w:sz w:val="28"/>
          <w:szCs w:val="28"/>
          <w:lang w:val="es-MX" w:eastAsia="es-ES"/>
        </w:rPr>
        <w:t xml:space="preserve"> demanda de inconstitucionalidad:</w:t>
      </w:r>
    </w:p>
    <w:p w:rsidR="00184063" w:rsidRPr="00CD542C" w:rsidRDefault="00184063" w:rsidP="00CD542C">
      <w:pPr>
        <w:spacing w:after="0" w:line="240" w:lineRule="auto"/>
        <w:jc w:val="both"/>
        <w:rPr>
          <w:rFonts w:ascii="Times New Roman" w:hAnsi="Times New Roman"/>
          <w:sz w:val="28"/>
          <w:szCs w:val="28"/>
          <w:lang w:eastAsia="es-ES"/>
        </w:rPr>
      </w:pPr>
    </w:p>
    <w:p w:rsidR="00184063" w:rsidRPr="00CD542C" w:rsidRDefault="00184063" w:rsidP="00CD542C">
      <w:pPr>
        <w:spacing w:after="0" w:line="240" w:lineRule="auto"/>
        <w:ind w:left="283" w:right="283"/>
        <w:jc w:val="center"/>
        <w:rPr>
          <w:rFonts w:ascii="Times New Roman" w:hAnsi="Times New Roman"/>
          <w:i/>
          <w:sz w:val="28"/>
          <w:szCs w:val="28"/>
          <w:lang w:eastAsia="es-ES"/>
        </w:rPr>
      </w:pPr>
      <w:r w:rsidRPr="00CD542C">
        <w:rPr>
          <w:rFonts w:ascii="Times New Roman" w:hAnsi="Times New Roman"/>
          <w:sz w:val="28"/>
          <w:szCs w:val="28"/>
          <w:lang w:eastAsia="es-ES"/>
        </w:rPr>
        <w:t>“</w:t>
      </w:r>
      <w:r w:rsidRPr="00CD542C">
        <w:rPr>
          <w:rFonts w:ascii="Times New Roman" w:hAnsi="Times New Roman"/>
          <w:i/>
          <w:sz w:val="28"/>
          <w:szCs w:val="28"/>
          <w:lang w:eastAsia="es-ES"/>
        </w:rPr>
        <w:t>LEY 1</w:t>
      </w:r>
      <w:r w:rsidR="00E609C6" w:rsidRPr="00CD542C">
        <w:rPr>
          <w:rFonts w:ascii="Times New Roman" w:hAnsi="Times New Roman"/>
          <w:i/>
          <w:sz w:val="28"/>
          <w:szCs w:val="28"/>
          <w:lang w:eastAsia="es-ES"/>
        </w:rPr>
        <w:t>761</w:t>
      </w:r>
      <w:r w:rsidRPr="00CD542C">
        <w:rPr>
          <w:rFonts w:ascii="Times New Roman" w:hAnsi="Times New Roman"/>
          <w:i/>
          <w:sz w:val="28"/>
          <w:szCs w:val="28"/>
          <w:lang w:eastAsia="es-ES"/>
        </w:rPr>
        <w:t xml:space="preserve"> DE 201</w:t>
      </w:r>
      <w:r w:rsidR="00E609C6" w:rsidRPr="00CD542C">
        <w:rPr>
          <w:rFonts w:ascii="Times New Roman" w:hAnsi="Times New Roman"/>
          <w:i/>
          <w:sz w:val="28"/>
          <w:szCs w:val="28"/>
          <w:lang w:eastAsia="es-ES"/>
        </w:rPr>
        <w:t>5</w:t>
      </w:r>
    </w:p>
    <w:p w:rsidR="00184063" w:rsidRPr="00CD542C" w:rsidRDefault="00184063" w:rsidP="00CD542C">
      <w:pPr>
        <w:spacing w:after="0" w:line="240" w:lineRule="auto"/>
        <w:ind w:left="283" w:right="283"/>
        <w:jc w:val="center"/>
        <w:rPr>
          <w:rFonts w:ascii="Times New Roman" w:hAnsi="Times New Roman"/>
          <w:i/>
          <w:sz w:val="28"/>
          <w:szCs w:val="28"/>
          <w:lang w:eastAsia="es-ES"/>
        </w:rPr>
      </w:pPr>
    </w:p>
    <w:p w:rsidR="00184063" w:rsidRPr="00CD542C" w:rsidRDefault="00184063" w:rsidP="00CD542C">
      <w:pPr>
        <w:spacing w:after="0" w:line="240" w:lineRule="auto"/>
        <w:ind w:left="283" w:right="283"/>
        <w:jc w:val="center"/>
        <w:rPr>
          <w:rFonts w:ascii="Times New Roman" w:hAnsi="Times New Roman"/>
          <w:i/>
          <w:sz w:val="28"/>
          <w:szCs w:val="28"/>
          <w:lang w:eastAsia="es-ES"/>
        </w:rPr>
      </w:pPr>
      <w:r w:rsidRPr="00CD542C">
        <w:rPr>
          <w:rFonts w:ascii="Times New Roman" w:hAnsi="Times New Roman"/>
          <w:i/>
          <w:sz w:val="28"/>
          <w:szCs w:val="28"/>
          <w:lang w:eastAsia="es-ES"/>
        </w:rPr>
        <w:t>(</w:t>
      </w:r>
      <w:r w:rsidR="00E609C6" w:rsidRPr="00CD542C">
        <w:rPr>
          <w:rFonts w:ascii="Times New Roman" w:hAnsi="Times New Roman"/>
          <w:i/>
          <w:sz w:val="28"/>
          <w:szCs w:val="28"/>
          <w:lang w:eastAsia="es-ES"/>
        </w:rPr>
        <w:t>Julio 6</w:t>
      </w:r>
      <w:r w:rsidRPr="00CD542C">
        <w:rPr>
          <w:rFonts w:ascii="Times New Roman" w:hAnsi="Times New Roman"/>
          <w:i/>
          <w:sz w:val="28"/>
          <w:szCs w:val="28"/>
          <w:lang w:eastAsia="es-ES"/>
        </w:rPr>
        <w:t>)</w:t>
      </w:r>
    </w:p>
    <w:p w:rsidR="00184063" w:rsidRPr="00CD542C" w:rsidRDefault="00184063" w:rsidP="00CD542C">
      <w:pPr>
        <w:spacing w:after="0" w:line="240" w:lineRule="auto"/>
        <w:ind w:left="283" w:right="283"/>
        <w:jc w:val="center"/>
        <w:rPr>
          <w:rFonts w:ascii="Times New Roman" w:hAnsi="Times New Roman"/>
          <w:i/>
          <w:sz w:val="28"/>
          <w:szCs w:val="28"/>
          <w:lang w:eastAsia="es-ES"/>
        </w:rPr>
      </w:pPr>
    </w:p>
    <w:p w:rsidR="00184063" w:rsidRPr="00CD542C" w:rsidRDefault="00E609C6" w:rsidP="00CD542C">
      <w:pPr>
        <w:spacing w:after="0" w:line="240" w:lineRule="auto"/>
        <w:ind w:left="283" w:right="283"/>
        <w:jc w:val="center"/>
        <w:rPr>
          <w:rFonts w:ascii="Times New Roman" w:hAnsi="Times New Roman"/>
          <w:i/>
          <w:sz w:val="28"/>
          <w:szCs w:val="28"/>
          <w:lang w:eastAsia="es-ES"/>
        </w:rPr>
      </w:pPr>
      <w:r w:rsidRPr="00CD542C">
        <w:rPr>
          <w:rFonts w:ascii="Times New Roman" w:hAnsi="Times New Roman"/>
          <w:i/>
          <w:sz w:val="28"/>
          <w:szCs w:val="28"/>
        </w:rPr>
        <w:t>Por la cual se crea el tipo penal de feminicidio como delito autónomo y se dictan otras disposiciones</w:t>
      </w:r>
      <w:r w:rsidRPr="00CD542C">
        <w:rPr>
          <w:rFonts w:ascii="Times New Roman" w:hAnsi="Times New Roman"/>
          <w:i/>
          <w:sz w:val="28"/>
          <w:szCs w:val="28"/>
          <w:lang w:eastAsia="es-ES"/>
        </w:rPr>
        <w:t>. (Rosa Elvira Cely)</w:t>
      </w:r>
    </w:p>
    <w:p w:rsidR="00184063" w:rsidRPr="00CD542C" w:rsidRDefault="00184063" w:rsidP="00CD542C">
      <w:pPr>
        <w:spacing w:after="0" w:line="240" w:lineRule="auto"/>
        <w:ind w:left="283" w:right="283"/>
        <w:jc w:val="center"/>
        <w:rPr>
          <w:rFonts w:ascii="Times New Roman" w:hAnsi="Times New Roman"/>
          <w:i/>
          <w:sz w:val="28"/>
          <w:szCs w:val="28"/>
          <w:lang w:eastAsia="es-ES"/>
        </w:rPr>
      </w:pPr>
    </w:p>
    <w:p w:rsidR="00184063" w:rsidRPr="00CD542C" w:rsidRDefault="00184063" w:rsidP="00CD542C">
      <w:pPr>
        <w:spacing w:after="0" w:line="240" w:lineRule="auto"/>
        <w:ind w:left="283" w:right="283"/>
        <w:jc w:val="center"/>
        <w:rPr>
          <w:rFonts w:ascii="Times New Roman" w:hAnsi="Times New Roman"/>
          <w:i/>
          <w:sz w:val="28"/>
          <w:szCs w:val="28"/>
          <w:lang w:eastAsia="es-ES"/>
        </w:rPr>
      </w:pPr>
      <w:r w:rsidRPr="00CD542C">
        <w:rPr>
          <w:rFonts w:ascii="Times New Roman" w:hAnsi="Times New Roman"/>
          <w:i/>
          <w:sz w:val="28"/>
          <w:szCs w:val="28"/>
          <w:lang w:eastAsia="es-ES"/>
        </w:rPr>
        <w:t>EL CONGRESO DE COLOMBIA</w:t>
      </w:r>
    </w:p>
    <w:p w:rsidR="00184063" w:rsidRPr="00CD542C" w:rsidRDefault="00184063" w:rsidP="00CD542C">
      <w:pPr>
        <w:spacing w:after="0" w:line="240" w:lineRule="auto"/>
        <w:ind w:left="283" w:right="283"/>
        <w:jc w:val="center"/>
        <w:rPr>
          <w:rFonts w:ascii="Times New Roman" w:hAnsi="Times New Roman"/>
          <w:i/>
          <w:sz w:val="28"/>
          <w:szCs w:val="28"/>
          <w:lang w:eastAsia="es-ES"/>
        </w:rPr>
      </w:pPr>
    </w:p>
    <w:p w:rsidR="00184063" w:rsidRPr="00CD542C" w:rsidRDefault="00184063" w:rsidP="00CD542C">
      <w:pPr>
        <w:spacing w:after="0" w:line="240" w:lineRule="auto"/>
        <w:ind w:left="283" w:right="283"/>
        <w:jc w:val="center"/>
        <w:rPr>
          <w:rFonts w:ascii="Times New Roman" w:hAnsi="Times New Roman"/>
          <w:i/>
          <w:sz w:val="28"/>
          <w:szCs w:val="28"/>
          <w:lang w:eastAsia="es-ES"/>
        </w:rPr>
      </w:pPr>
      <w:r w:rsidRPr="00CD542C">
        <w:rPr>
          <w:rFonts w:ascii="Times New Roman" w:hAnsi="Times New Roman"/>
          <w:i/>
          <w:sz w:val="28"/>
          <w:szCs w:val="28"/>
          <w:lang w:eastAsia="es-ES"/>
        </w:rPr>
        <w:t>DECRETA:</w:t>
      </w:r>
    </w:p>
    <w:p w:rsidR="00184063" w:rsidRPr="00CD542C" w:rsidRDefault="00184063" w:rsidP="00CD542C">
      <w:pPr>
        <w:spacing w:after="0" w:line="240" w:lineRule="auto"/>
        <w:ind w:left="283" w:right="283"/>
        <w:jc w:val="center"/>
        <w:rPr>
          <w:rFonts w:ascii="Times New Roman" w:hAnsi="Times New Roman"/>
          <w:i/>
          <w:sz w:val="28"/>
          <w:szCs w:val="28"/>
          <w:lang w:eastAsia="es-ES"/>
        </w:rPr>
      </w:pPr>
      <w:r w:rsidRPr="00CD542C">
        <w:rPr>
          <w:rFonts w:ascii="Times New Roman" w:hAnsi="Times New Roman"/>
          <w:i/>
          <w:sz w:val="28"/>
          <w:szCs w:val="28"/>
          <w:lang w:eastAsia="es-ES"/>
        </w:rPr>
        <w:t>(…)</w:t>
      </w:r>
    </w:p>
    <w:p w:rsidR="00184063" w:rsidRPr="00CD542C" w:rsidRDefault="00184063" w:rsidP="00CD542C">
      <w:pPr>
        <w:spacing w:after="0" w:line="240" w:lineRule="auto"/>
        <w:ind w:left="283" w:right="283"/>
        <w:rPr>
          <w:rFonts w:ascii="Times New Roman" w:hAnsi="Times New Roman"/>
          <w:i/>
          <w:sz w:val="28"/>
          <w:szCs w:val="28"/>
          <w:lang w:eastAsia="es-ES"/>
        </w:rPr>
      </w:pPr>
    </w:p>
    <w:p w:rsidR="00ED432D" w:rsidRPr="00CD542C" w:rsidRDefault="00E609C6" w:rsidP="00CD542C">
      <w:pPr>
        <w:spacing w:after="0" w:line="240" w:lineRule="auto"/>
        <w:ind w:left="283" w:right="283"/>
        <w:rPr>
          <w:rFonts w:ascii="Times New Roman" w:hAnsi="Times New Roman"/>
          <w:i/>
          <w:sz w:val="28"/>
          <w:szCs w:val="28"/>
        </w:rPr>
      </w:pPr>
      <w:r w:rsidRPr="00CD542C">
        <w:rPr>
          <w:rFonts w:ascii="Times New Roman" w:hAnsi="Times New Roman"/>
          <w:i/>
          <w:sz w:val="28"/>
          <w:szCs w:val="28"/>
          <w:lang w:eastAsia="es-ES"/>
        </w:rPr>
        <w:t>Artículo 2</w:t>
      </w:r>
      <w:r w:rsidR="00184063" w:rsidRPr="00CD542C">
        <w:rPr>
          <w:rFonts w:ascii="Times New Roman" w:hAnsi="Times New Roman"/>
          <w:i/>
          <w:sz w:val="28"/>
          <w:szCs w:val="28"/>
          <w:lang w:eastAsia="es-ES"/>
        </w:rPr>
        <w:t xml:space="preserve">°. </w:t>
      </w:r>
      <w:r w:rsidRPr="00CD542C">
        <w:rPr>
          <w:rFonts w:ascii="Times New Roman" w:hAnsi="Times New Roman"/>
          <w:i/>
          <w:sz w:val="28"/>
          <w:szCs w:val="28"/>
        </w:rPr>
        <w:t xml:space="preserve">La Ley 599 de 2000 tendrá un artículo 104A del siguiente tenor: </w:t>
      </w:r>
    </w:p>
    <w:p w:rsidR="00ED432D" w:rsidRPr="00CD542C" w:rsidRDefault="00ED432D" w:rsidP="00CD542C">
      <w:pPr>
        <w:spacing w:after="0" w:line="240" w:lineRule="auto"/>
        <w:ind w:left="283" w:right="283"/>
        <w:jc w:val="both"/>
        <w:rPr>
          <w:rFonts w:ascii="Times New Roman" w:hAnsi="Times New Roman"/>
          <w:i/>
          <w:sz w:val="28"/>
          <w:szCs w:val="28"/>
        </w:rPr>
      </w:pPr>
      <w:r w:rsidRPr="00CD542C">
        <w:rPr>
          <w:rFonts w:ascii="Times New Roman" w:hAnsi="Times New Roman"/>
          <w:i/>
          <w:sz w:val="28"/>
          <w:szCs w:val="28"/>
        </w:rPr>
        <w:t>Artículo 104A. Feminicidio. Quien causare la muerte a una mujer, por su condición de ser mujer o por motivos de su identidad de género o en donde haya concurrido o antecedido cualquiera de las siguientes circunstancias, incurrirá en prisión de doscientos cincuenta (250) meses a quinientos (500) meses.</w:t>
      </w:r>
    </w:p>
    <w:p w:rsidR="00ED432D" w:rsidRPr="00CD542C" w:rsidRDefault="00ED432D" w:rsidP="00CD542C">
      <w:pPr>
        <w:spacing w:after="0" w:line="240" w:lineRule="auto"/>
        <w:ind w:left="283" w:right="283"/>
        <w:rPr>
          <w:rFonts w:ascii="Times New Roman" w:hAnsi="Times New Roman"/>
          <w:i/>
          <w:sz w:val="28"/>
          <w:szCs w:val="28"/>
        </w:rPr>
      </w:pPr>
    </w:p>
    <w:p w:rsidR="00184063" w:rsidRPr="00CD542C" w:rsidRDefault="00E609C6" w:rsidP="00CD542C">
      <w:pPr>
        <w:spacing w:after="0" w:line="240" w:lineRule="auto"/>
        <w:ind w:left="283" w:right="283"/>
        <w:rPr>
          <w:rFonts w:ascii="Times New Roman" w:hAnsi="Times New Roman"/>
          <w:i/>
          <w:sz w:val="28"/>
          <w:szCs w:val="28"/>
        </w:rPr>
      </w:pPr>
      <w:r w:rsidRPr="00CD542C">
        <w:rPr>
          <w:rFonts w:ascii="Times New Roman" w:hAnsi="Times New Roman"/>
          <w:i/>
          <w:sz w:val="28"/>
          <w:szCs w:val="28"/>
        </w:rPr>
        <w:t>(…)</w:t>
      </w:r>
    </w:p>
    <w:p w:rsidR="00E609C6" w:rsidRPr="00CD542C" w:rsidRDefault="00E609C6" w:rsidP="00CD542C">
      <w:pPr>
        <w:spacing w:after="0" w:line="240" w:lineRule="auto"/>
        <w:ind w:left="283" w:right="283"/>
        <w:jc w:val="both"/>
        <w:rPr>
          <w:rFonts w:ascii="Times New Roman" w:hAnsi="Times New Roman"/>
          <w:i/>
          <w:sz w:val="28"/>
          <w:szCs w:val="28"/>
          <w:u w:val="single"/>
          <w:lang w:eastAsia="es-ES"/>
        </w:rPr>
      </w:pPr>
      <w:r w:rsidRPr="00CD542C">
        <w:rPr>
          <w:rFonts w:ascii="Times New Roman" w:hAnsi="Times New Roman"/>
          <w:i/>
          <w:sz w:val="28"/>
          <w:szCs w:val="28"/>
          <w:u w:val="single"/>
        </w:rPr>
        <w:t>e) Que existan antecedentes o indicios de cualquier tipo de violencia o amenaza en el ámbito doméstico, familiar, laboral o escolar por parte del sujeto activo en contra de la víctima o de violencia de género cometida por el autor contra la víctima, independientemente de que el hecho haya sido denunciado o no.</w:t>
      </w:r>
    </w:p>
    <w:p w:rsidR="00184063" w:rsidRPr="00CD542C" w:rsidRDefault="00A718B5" w:rsidP="00CD542C">
      <w:pPr>
        <w:spacing w:after="0" w:line="240" w:lineRule="auto"/>
        <w:ind w:left="283" w:right="283"/>
        <w:jc w:val="both"/>
        <w:rPr>
          <w:rFonts w:ascii="Times New Roman" w:hAnsi="Times New Roman"/>
          <w:i/>
          <w:sz w:val="28"/>
          <w:szCs w:val="28"/>
          <w:lang w:val="es-CO" w:eastAsia="es-ES"/>
        </w:rPr>
      </w:pPr>
      <w:r w:rsidRPr="00CD542C">
        <w:rPr>
          <w:rFonts w:ascii="Times New Roman" w:hAnsi="Times New Roman"/>
          <w:i/>
          <w:sz w:val="28"/>
          <w:szCs w:val="28"/>
          <w:lang w:val="es-CO" w:eastAsia="es-ES"/>
        </w:rPr>
        <w:t>(…)”.</w:t>
      </w:r>
    </w:p>
    <w:p w:rsidR="00A718B5" w:rsidRPr="00CD542C" w:rsidRDefault="00A718B5" w:rsidP="00CD542C">
      <w:pPr>
        <w:spacing w:after="0" w:line="240" w:lineRule="auto"/>
        <w:jc w:val="both"/>
        <w:rPr>
          <w:rFonts w:ascii="Times New Roman" w:hAnsi="Times New Roman"/>
          <w:i/>
          <w:sz w:val="28"/>
          <w:szCs w:val="28"/>
          <w:u w:val="single"/>
          <w:lang w:val="es-CO" w:eastAsia="es-ES"/>
        </w:rPr>
      </w:pPr>
    </w:p>
    <w:p w:rsidR="00184063" w:rsidRPr="00CD542C" w:rsidRDefault="00184063" w:rsidP="00CD542C">
      <w:pPr>
        <w:numPr>
          <w:ilvl w:val="0"/>
          <w:numId w:val="1"/>
        </w:numPr>
        <w:spacing w:after="0" w:line="240" w:lineRule="auto"/>
        <w:jc w:val="both"/>
        <w:rPr>
          <w:rFonts w:ascii="Times New Roman" w:hAnsi="Times New Roman"/>
          <w:b/>
          <w:sz w:val="28"/>
          <w:szCs w:val="28"/>
          <w:lang w:eastAsia="es-ES"/>
        </w:rPr>
      </w:pPr>
      <w:r w:rsidRPr="00CD542C">
        <w:rPr>
          <w:rFonts w:ascii="Times New Roman" w:hAnsi="Times New Roman"/>
          <w:b/>
          <w:sz w:val="28"/>
          <w:szCs w:val="28"/>
          <w:lang w:eastAsia="es-ES"/>
        </w:rPr>
        <w:t xml:space="preserve"> LA DEMANDA</w:t>
      </w:r>
    </w:p>
    <w:p w:rsidR="00184063" w:rsidRPr="00CD542C" w:rsidRDefault="00184063" w:rsidP="00CD542C">
      <w:pPr>
        <w:spacing w:after="0" w:line="240" w:lineRule="auto"/>
        <w:jc w:val="both"/>
        <w:rPr>
          <w:rFonts w:ascii="Times New Roman" w:hAnsi="Times New Roman"/>
          <w:b/>
          <w:sz w:val="28"/>
          <w:szCs w:val="28"/>
          <w:lang w:eastAsia="es-ES"/>
        </w:rPr>
      </w:pPr>
    </w:p>
    <w:p w:rsidR="008D0AE9" w:rsidRPr="00CD542C" w:rsidRDefault="000718E1" w:rsidP="00CD542C">
      <w:pPr>
        <w:pStyle w:val="Textoindependiente"/>
        <w:spacing w:after="0"/>
        <w:jc w:val="both"/>
        <w:rPr>
          <w:iCs/>
          <w:sz w:val="28"/>
          <w:szCs w:val="28"/>
        </w:rPr>
      </w:pPr>
      <w:r w:rsidRPr="00CD542C">
        <w:rPr>
          <w:iCs/>
          <w:sz w:val="28"/>
          <w:szCs w:val="28"/>
        </w:rPr>
        <w:t>Juan Sebastián Bautista Pulido presentó demanda de inconstitucionalidad contra el literal e</w:t>
      </w:r>
      <w:r w:rsidR="008A6845" w:rsidRPr="00CD542C">
        <w:rPr>
          <w:iCs/>
          <w:sz w:val="28"/>
          <w:szCs w:val="28"/>
        </w:rPr>
        <w:t>)</w:t>
      </w:r>
      <w:r w:rsidRPr="00CD542C">
        <w:rPr>
          <w:iCs/>
          <w:sz w:val="28"/>
          <w:szCs w:val="28"/>
        </w:rPr>
        <w:t xml:space="preserve"> del artículo 2 de la Ley 1761 de 2015</w:t>
      </w:r>
      <w:r w:rsidR="00943F38" w:rsidRPr="00CD542C">
        <w:rPr>
          <w:iCs/>
          <w:sz w:val="28"/>
          <w:szCs w:val="28"/>
        </w:rPr>
        <w:t xml:space="preserve"> </w:t>
      </w:r>
      <w:r w:rsidRPr="00CD542C">
        <w:rPr>
          <w:iCs/>
          <w:sz w:val="28"/>
          <w:szCs w:val="28"/>
        </w:rPr>
        <w:t>por considerar que vulnera</w:t>
      </w:r>
      <w:r w:rsidR="00894537" w:rsidRPr="00CD542C">
        <w:rPr>
          <w:iCs/>
          <w:sz w:val="28"/>
          <w:szCs w:val="28"/>
        </w:rPr>
        <w:t xml:space="preserve"> el principio de legalidad y el derecho al debido proceso</w:t>
      </w:r>
      <w:r w:rsidR="00B27BA6" w:rsidRPr="00CD542C">
        <w:rPr>
          <w:iCs/>
          <w:sz w:val="28"/>
          <w:szCs w:val="28"/>
        </w:rPr>
        <w:t>,</w:t>
      </w:r>
      <w:r w:rsidR="00894537" w:rsidRPr="00CD542C">
        <w:rPr>
          <w:iCs/>
          <w:sz w:val="28"/>
          <w:szCs w:val="28"/>
        </w:rPr>
        <w:t xml:space="preserve"> consignados en</w:t>
      </w:r>
      <w:r w:rsidRPr="00CD542C">
        <w:rPr>
          <w:iCs/>
          <w:sz w:val="28"/>
          <w:szCs w:val="28"/>
        </w:rPr>
        <w:t xml:space="preserve"> los artículos 1</w:t>
      </w:r>
      <w:r w:rsidR="008A6845" w:rsidRPr="00CD542C">
        <w:rPr>
          <w:iCs/>
          <w:sz w:val="28"/>
          <w:szCs w:val="28"/>
        </w:rPr>
        <w:t>º</w:t>
      </w:r>
      <w:r w:rsidRPr="00CD542C">
        <w:rPr>
          <w:iCs/>
          <w:sz w:val="28"/>
          <w:szCs w:val="28"/>
        </w:rPr>
        <w:t xml:space="preserve"> </w:t>
      </w:r>
      <w:r w:rsidR="003322A8" w:rsidRPr="00CD542C">
        <w:rPr>
          <w:iCs/>
          <w:sz w:val="28"/>
          <w:szCs w:val="28"/>
        </w:rPr>
        <w:t>y 29 de la Constitución</w:t>
      </w:r>
      <w:r w:rsidRPr="00CD542C">
        <w:rPr>
          <w:iCs/>
          <w:sz w:val="28"/>
          <w:szCs w:val="28"/>
        </w:rPr>
        <w:t xml:space="preserve">. </w:t>
      </w:r>
    </w:p>
    <w:p w:rsidR="008D0AE9" w:rsidRPr="00CD542C" w:rsidRDefault="008D0AE9" w:rsidP="00CD542C">
      <w:pPr>
        <w:pStyle w:val="Textoindependiente"/>
        <w:spacing w:after="0"/>
        <w:jc w:val="both"/>
        <w:rPr>
          <w:iCs/>
          <w:sz w:val="28"/>
          <w:szCs w:val="28"/>
        </w:rPr>
      </w:pPr>
    </w:p>
    <w:p w:rsidR="00581426" w:rsidRPr="00CD542C" w:rsidRDefault="000718E1" w:rsidP="00CD542C">
      <w:pPr>
        <w:pStyle w:val="Textoindependiente"/>
        <w:spacing w:after="0"/>
        <w:jc w:val="both"/>
        <w:rPr>
          <w:iCs/>
          <w:sz w:val="28"/>
          <w:szCs w:val="28"/>
        </w:rPr>
      </w:pPr>
      <w:r w:rsidRPr="00CD542C">
        <w:rPr>
          <w:iCs/>
          <w:sz w:val="28"/>
          <w:szCs w:val="28"/>
        </w:rPr>
        <w:t>El demandante sostiene que el</w:t>
      </w:r>
      <w:r w:rsidR="003322A8" w:rsidRPr="00CD542C">
        <w:rPr>
          <w:iCs/>
          <w:sz w:val="28"/>
          <w:szCs w:val="28"/>
        </w:rPr>
        <w:t xml:space="preserve"> aparte acusado</w:t>
      </w:r>
      <w:r w:rsidR="00581426" w:rsidRPr="00CD542C">
        <w:rPr>
          <w:iCs/>
          <w:sz w:val="28"/>
          <w:szCs w:val="28"/>
        </w:rPr>
        <w:t xml:space="preserve"> “</w:t>
      </w:r>
      <w:r w:rsidR="00581426" w:rsidRPr="00CD542C">
        <w:rPr>
          <w:i/>
          <w:sz w:val="28"/>
          <w:szCs w:val="28"/>
        </w:rPr>
        <w:t>compone el tipo penal de tal manera que para la imputación de una actuación como feminicidio, a partir del literal en cuestión se exige además del sujeto activo que éste cause la muerte a una mujer, sin ningún ingrediente adicional aparte de lo que dispone el literal mismo</w:t>
      </w:r>
      <w:r w:rsidR="00581426" w:rsidRPr="00CD542C">
        <w:rPr>
          <w:iCs/>
          <w:sz w:val="28"/>
          <w:szCs w:val="28"/>
        </w:rPr>
        <w:t>”</w:t>
      </w:r>
      <w:r w:rsidR="00581426" w:rsidRPr="00CD542C">
        <w:rPr>
          <w:rStyle w:val="Refdenotaalpie"/>
          <w:iCs/>
          <w:sz w:val="28"/>
          <w:szCs w:val="28"/>
        </w:rPr>
        <w:footnoteReference w:id="1"/>
      </w:r>
      <w:r w:rsidR="00581426" w:rsidRPr="00CD542C">
        <w:rPr>
          <w:iCs/>
          <w:sz w:val="28"/>
          <w:szCs w:val="28"/>
        </w:rPr>
        <w:t>.</w:t>
      </w:r>
      <w:r w:rsidRPr="00CD542C">
        <w:rPr>
          <w:iCs/>
          <w:sz w:val="28"/>
          <w:szCs w:val="28"/>
        </w:rPr>
        <w:t xml:space="preserve"> </w:t>
      </w:r>
      <w:r w:rsidR="00DB4A90" w:rsidRPr="00CD542C">
        <w:rPr>
          <w:iCs/>
          <w:sz w:val="28"/>
          <w:szCs w:val="28"/>
        </w:rPr>
        <w:t>Por lo tanto, considera que se trata de un tipo penal abierto</w:t>
      </w:r>
      <w:r w:rsidR="00325452" w:rsidRPr="00CD542C">
        <w:rPr>
          <w:iCs/>
          <w:sz w:val="28"/>
          <w:szCs w:val="28"/>
        </w:rPr>
        <w:t>, proscrito por la Constitución</w:t>
      </w:r>
      <w:r w:rsidR="00D15F68" w:rsidRPr="00CD542C">
        <w:rPr>
          <w:iCs/>
          <w:sz w:val="28"/>
          <w:szCs w:val="28"/>
        </w:rPr>
        <w:t>, pues no es posible determinar de forma inequívoca y clara “</w:t>
      </w:r>
      <w:r w:rsidR="00D15F68" w:rsidRPr="00CD542C">
        <w:rPr>
          <w:i/>
          <w:sz w:val="28"/>
          <w:szCs w:val="28"/>
        </w:rPr>
        <w:t>que la motivación del sujeto activo corresponde al ingrediente subjetivo `por motivos de género</w:t>
      </w:r>
      <w:r w:rsidR="00D15F68" w:rsidRPr="00CD542C">
        <w:rPr>
          <w:iCs/>
          <w:sz w:val="28"/>
          <w:szCs w:val="28"/>
        </w:rPr>
        <w:t>´”</w:t>
      </w:r>
      <w:r w:rsidR="00D15F68" w:rsidRPr="00CD542C">
        <w:rPr>
          <w:rStyle w:val="Refdenotaalpie"/>
          <w:iCs/>
          <w:sz w:val="28"/>
          <w:szCs w:val="28"/>
        </w:rPr>
        <w:footnoteReference w:id="2"/>
      </w:r>
      <w:r w:rsidR="00D15F68" w:rsidRPr="00CD542C">
        <w:rPr>
          <w:iCs/>
          <w:sz w:val="28"/>
          <w:szCs w:val="28"/>
        </w:rPr>
        <w:t>.</w:t>
      </w:r>
    </w:p>
    <w:p w:rsidR="000718E1" w:rsidRPr="00CD542C" w:rsidRDefault="000718E1" w:rsidP="00CD542C">
      <w:pPr>
        <w:pStyle w:val="Textoindependiente"/>
        <w:spacing w:after="0"/>
        <w:jc w:val="both"/>
        <w:rPr>
          <w:sz w:val="28"/>
          <w:szCs w:val="28"/>
        </w:rPr>
      </w:pPr>
    </w:p>
    <w:p w:rsidR="00D15F68" w:rsidRPr="00CD542C" w:rsidRDefault="008D0AE9" w:rsidP="00CD542C">
      <w:pPr>
        <w:pStyle w:val="Textoindependiente"/>
        <w:spacing w:after="0"/>
        <w:jc w:val="both"/>
        <w:rPr>
          <w:sz w:val="28"/>
          <w:szCs w:val="28"/>
        </w:rPr>
      </w:pPr>
      <w:r w:rsidRPr="00CD542C">
        <w:rPr>
          <w:iCs/>
          <w:sz w:val="28"/>
          <w:szCs w:val="28"/>
        </w:rPr>
        <w:lastRenderedPageBreak/>
        <w:t xml:space="preserve">A partir de jurisprudencia de la Corte Constitucional, </w:t>
      </w:r>
      <w:r w:rsidRPr="00CD542C">
        <w:rPr>
          <w:sz w:val="28"/>
          <w:szCs w:val="28"/>
        </w:rPr>
        <w:t>e</w:t>
      </w:r>
      <w:r w:rsidR="00184063" w:rsidRPr="00CD542C">
        <w:rPr>
          <w:sz w:val="28"/>
          <w:szCs w:val="28"/>
        </w:rPr>
        <w:t>l ciudadano señala que</w:t>
      </w:r>
      <w:r w:rsidR="00D15F68" w:rsidRPr="00CD542C">
        <w:rPr>
          <w:sz w:val="28"/>
          <w:szCs w:val="28"/>
        </w:rPr>
        <w:t xml:space="preserve"> el Legislador encuentra el </w:t>
      </w:r>
      <w:r w:rsidR="00B70DA5" w:rsidRPr="00CD542C">
        <w:rPr>
          <w:sz w:val="28"/>
          <w:szCs w:val="28"/>
        </w:rPr>
        <w:t>límite</w:t>
      </w:r>
      <w:r w:rsidR="00D15F68" w:rsidRPr="00CD542C">
        <w:rPr>
          <w:sz w:val="28"/>
          <w:szCs w:val="28"/>
        </w:rPr>
        <w:t xml:space="preserve"> a su libertad de configuración en los derechos y la dignidad de las personas</w:t>
      </w:r>
      <w:r w:rsidRPr="00CD542C">
        <w:rPr>
          <w:sz w:val="28"/>
          <w:szCs w:val="28"/>
        </w:rPr>
        <w:t>, lo cual incluye</w:t>
      </w:r>
      <w:r w:rsidR="00D15F68" w:rsidRPr="00CD542C">
        <w:rPr>
          <w:sz w:val="28"/>
          <w:szCs w:val="28"/>
        </w:rPr>
        <w:t xml:space="preserve"> el principio de legalidad</w:t>
      </w:r>
      <w:r w:rsidR="00B70DA5" w:rsidRPr="00CD542C">
        <w:rPr>
          <w:sz w:val="28"/>
          <w:szCs w:val="28"/>
        </w:rPr>
        <w:t>. Sostiene que dicho principio</w:t>
      </w:r>
      <w:r w:rsidR="00D15F68" w:rsidRPr="00CD542C">
        <w:rPr>
          <w:sz w:val="28"/>
          <w:szCs w:val="28"/>
        </w:rPr>
        <w:t xml:space="preserve"> implica que u</w:t>
      </w:r>
      <w:r w:rsidR="00B27BA6" w:rsidRPr="00CD542C">
        <w:rPr>
          <w:sz w:val="28"/>
          <w:szCs w:val="28"/>
        </w:rPr>
        <w:t xml:space="preserve">n tipo penal no puede ser </w:t>
      </w:r>
      <w:r w:rsidR="00003216" w:rsidRPr="00CD542C">
        <w:rPr>
          <w:sz w:val="28"/>
          <w:szCs w:val="28"/>
        </w:rPr>
        <w:t>ambiguo</w:t>
      </w:r>
      <w:r w:rsidR="00D15F68" w:rsidRPr="00CD542C">
        <w:rPr>
          <w:sz w:val="28"/>
          <w:szCs w:val="28"/>
        </w:rPr>
        <w:t xml:space="preserve"> y el “</w:t>
      </w:r>
      <w:r w:rsidR="00D15F68" w:rsidRPr="00CD542C">
        <w:rPr>
          <w:i/>
          <w:iCs/>
          <w:sz w:val="28"/>
          <w:szCs w:val="28"/>
        </w:rPr>
        <w:t>literal demandado determina diversos y confusos supuestos de hecho para configurar el tipo, algunos de los cuales se fundamenta</w:t>
      </w:r>
      <w:r w:rsidR="001A6CEF">
        <w:rPr>
          <w:i/>
          <w:iCs/>
          <w:sz w:val="28"/>
          <w:szCs w:val="28"/>
        </w:rPr>
        <w:t>n</w:t>
      </w:r>
      <w:r w:rsidR="00D15F68" w:rsidRPr="00CD542C">
        <w:rPr>
          <w:i/>
          <w:iCs/>
          <w:sz w:val="28"/>
          <w:szCs w:val="28"/>
        </w:rPr>
        <w:t xml:space="preserve"> en la mera demostración de antecedentes de violencia los cuales aparentemente demostrarían que la violencia en que se comete se refiere a violencia de género</w:t>
      </w:r>
      <w:r w:rsidR="00D15F68" w:rsidRPr="00CD542C">
        <w:rPr>
          <w:sz w:val="28"/>
          <w:szCs w:val="28"/>
        </w:rPr>
        <w:t>”</w:t>
      </w:r>
      <w:r w:rsidR="00D15F68" w:rsidRPr="00CD542C">
        <w:rPr>
          <w:rStyle w:val="Refdenotaalpie"/>
          <w:sz w:val="28"/>
          <w:szCs w:val="28"/>
        </w:rPr>
        <w:footnoteReference w:id="3"/>
      </w:r>
      <w:r w:rsidR="00D15F68" w:rsidRPr="00CD542C">
        <w:rPr>
          <w:sz w:val="28"/>
          <w:szCs w:val="28"/>
        </w:rPr>
        <w:t xml:space="preserve">. </w:t>
      </w:r>
    </w:p>
    <w:p w:rsidR="000718E1" w:rsidRPr="00CD542C" w:rsidRDefault="000718E1" w:rsidP="00CD542C">
      <w:pPr>
        <w:spacing w:after="0" w:line="240" w:lineRule="auto"/>
        <w:jc w:val="both"/>
        <w:rPr>
          <w:rFonts w:ascii="Times New Roman" w:hAnsi="Times New Roman"/>
          <w:iCs/>
          <w:sz w:val="28"/>
          <w:szCs w:val="28"/>
          <w:lang w:eastAsia="es-ES"/>
        </w:rPr>
      </w:pPr>
    </w:p>
    <w:p w:rsidR="0098185E" w:rsidRPr="00CD542C" w:rsidRDefault="006C1897" w:rsidP="00CD542C">
      <w:pPr>
        <w:pStyle w:val="Textoindependiente"/>
        <w:spacing w:after="0"/>
        <w:jc w:val="both"/>
        <w:rPr>
          <w:sz w:val="28"/>
          <w:szCs w:val="28"/>
        </w:rPr>
      </w:pPr>
      <w:r w:rsidRPr="00CD542C">
        <w:rPr>
          <w:sz w:val="28"/>
          <w:szCs w:val="28"/>
        </w:rPr>
        <w:t>Particularmente</w:t>
      </w:r>
      <w:r w:rsidR="00B27152" w:rsidRPr="00CD542C">
        <w:rPr>
          <w:sz w:val="28"/>
          <w:szCs w:val="28"/>
        </w:rPr>
        <w:t>,</w:t>
      </w:r>
      <w:r w:rsidRPr="00CD542C">
        <w:rPr>
          <w:sz w:val="28"/>
          <w:szCs w:val="28"/>
        </w:rPr>
        <w:t xml:space="preserve"> señala que</w:t>
      </w:r>
      <w:r w:rsidR="00A7012D" w:rsidRPr="00CD542C">
        <w:rPr>
          <w:sz w:val="28"/>
          <w:szCs w:val="28"/>
        </w:rPr>
        <w:t xml:space="preserve"> la ambigüedad del tipo penal recae en la posibilidad de condenar a un sujeto por tener </w:t>
      </w:r>
      <w:r w:rsidR="00794273" w:rsidRPr="00CD542C">
        <w:rPr>
          <w:sz w:val="28"/>
          <w:szCs w:val="28"/>
        </w:rPr>
        <w:t>cualquier clase de antecedentes de violencia</w:t>
      </w:r>
      <w:r w:rsidR="008D0AE9" w:rsidRPr="00CD542C">
        <w:rPr>
          <w:sz w:val="28"/>
          <w:szCs w:val="28"/>
        </w:rPr>
        <w:t xml:space="preserve"> en contra de la víctima, sin necesidad de que sean denunciados.</w:t>
      </w:r>
      <w:r w:rsidRPr="00CD542C">
        <w:rPr>
          <w:sz w:val="28"/>
          <w:szCs w:val="28"/>
        </w:rPr>
        <w:t xml:space="preserve"> </w:t>
      </w:r>
      <w:r w:rsidR="0098185E" w:rsidRPr="00CD542C">
        <w:rPr>
          <w:sz w:val="28"/>
          <w:szCs w:val="28"/>
        </w:rPr>
        <w:t xml:space="preserve">Por lo tanto, </w:t>
      </w:r>
      <w:r w:rsidR="00203E48" w:rsidRPr="00CD542C">
        <w:rPr>
          <w:sz w:val="28"/>
          <w:szCs w:val="28"/>
        </w:rPr>
        <w:t>afirma</w:t>
      </w:r>
      <w:r w:rsidR="00914969" w:rsidRPr="00CD542C">
        <w:rPr>
          <w:sz w:val="28"/>
          <w:szCs w:val="28"/>
        </w:rPr>
        <w:t xml:space="preserve"> que </w:t>
      </w:r>
      <w:r w:rsidR="007117A8" w:rsidRPr="00CD542C">
        <w:rPr>
          <w:sz w:val="28"/>
          <w:szCs w:val="28"/>
        </w:rPr>
        <w:t>el término “antecedente” no representa ninguna calificación especial</w:t>
      </w:r>
      <w:r w:rsidR="00794273" w:rsidRPr="00CD542C">
        <w:rPr>
          <w:sz w:val="28"/>
          <w:szCs w:val="28"/>
        </w:rPr>
        <w:t xml:space="preserve">, </w:t>
      </w:r>
      <w:r w:rsidR="007117A8" w:rsidRPr="00CD542C">
        <w:rPr>
          <w:sz w:val="28"/>
          <w:szCs w:val="28"/>
        </w:rPr>
        <w:t xml:space="preserve">lo cual permite que se realice una interpretación ambigua, y con ello se genere una inseguridad e indeterminación jurídica. </w:t>
      </w:r>
    </w:p>
    <w:p w:rsidR="0098185E" w:rsidRPr="00CD542C" w:rsidRDefault="0098185E" w:rsidP="00CD542C">
      <w:pPr>
        <w:pStyle w:val="Textoindependiente"/>
        <w:spacing w:after="0"/>
        <w:jc w:val="both"/>
        <w:rPr>
          <w:sz w:val="28"/>
          <w:szCs w:val="28"/>
        </w:rPr>
      </w:pPr>
    </w:p>
    <w:p w:rsidR="000718E1" w:rsidRPr="00CD542C" w:rsidRDefault="0098185E" w:rsidP="00CD542C">
      <w:pPr>
        <w:pStyle w:val="Textoindependiente"/>
        <w:spacing w:after="0"/>
        <w:jc w:val="both"/>
        <w:rPr>
          <w:sz w:val="28"/>
          <w:szCs w:val="28"/>
        </w:rPr>
      </w:pPr>
      <w:r w:rsidRPr="00CD542C">
        <w:rPr>
          <w:sz w:val="28"/>
          <w:szCs w:val="28"/>
        </w:rPr>
        <w:t>En el mismo sentido, plantea que la “</w:t>
      </w:r>
      <w:r w:rsidRPr="00CD542C">
        <w:rPr>
          <w:i/>
          <w:iCs/>
          <w:sz w:val="28"/>
          <w:szCs w:val="28"/>
        </w:rPr>
        <w:t>disposición de los indicios resulta abundantemente contraria a los postulados del Estado Social de Derecho, ya que pretende que a partir de indicios de violencia se condene a una persona al tipo penal de feminicidio</w:t>
      </w:r>
      <w:r w:rsidRPr="00CD542C">
        <w:rPr>
          <w:sz w:val="28"/>
          <w:szCs w:val="28"/>
        </w:rPr>
        <w:t>”</w:t>
      </w:r>
      <w:r w:rsidRPr="00CD542C">
        <w:rPr>
          <w:rStyle w:val="Refdenotaalpie"/>
          <w:sz w:val="28"/>
          <w:szCs w:val="28"/>
        </w:rPr>
        <w:footnoteReference w:id="4"/>
      </w:r>
      <w:r w:rsidRPr="00CD542C">
        <w:rPr>
          <w:sz w:val="28"/>
          <w:szCs w:val="28"/>
        </w:rPr>
        <w:t xml:space="preserve">. </w:t>
      </w:r>
      <w:r w:rsidR="00794273" w:rsidRPr="00CD542C">
        <w:rPr>
          <w:sz w:val="28"/>
          <w:szCs w:val="28"/>
        </w:rPr>
        <w:t xml:space="preserve">Para el actor, </w:t>
      </w:r>
      <w:r w:rsidR="00794273" w:rsidRPr="00CD542C">
        <w:rPr>
          <w:i/>
          <w:sz w:val="28"/>
          <w:szCs w:val="28"/>
        </w:rPr>
        <w:t>“se estaría llegando al extremo de que a partir de simples comentarios o manifestaciones que emita alguna persona o que haya hecho la víctima en determinado momento, de cualquier tipo de violencia, se podría imputar el delito de feminicidio”</w:t>
      </w:r>
      <w:r w:rsidR="00794273" w:rsidRPr="00CD542C">
        <w:rPr>
          <w:rStyle w:val="Refdenotaalpie"/>
          <w:i/>
          <w:sz w:val="28"/>
          <w:szCs w:val="28"/>
        </w:rPr>
        <w:footnoteReference w:id="5"/>
      </w:r>
      <w:r w:rsidR="00794273" w:rsidRPr="00CD542C">
        <w:rPr>
          <w:i/>
          <w:sz w:val="28"/>
          <w:szCs w:val="28"/>
        </w:rPr>
        <w:t>.</w:t>
      </w:r>
      <w:r w:rsidR="00794273" w:rsidRPr="00CD542C">
        <w:rPr>
          <w:sz w:val="28"/>
          <w:szCs w:val="28"/>
        </w:rPr>
        <w:t xml:space="preserve"> </w:t>
      </w:r>
      <w:r w:rsidRPr="00CD542C">
        <w:rPr>
          <w:sz w:val="28"/>
          <w:szCs w:val="28"/>
        </w:rPr>
        <w:t>Así pues, en su concepto, el aparte viola el derecho al debido proceso porque “</w:t>
      </w:r>
      <w:r w:rsidRPr="00CD542C">
        <w:rPr>
          <w:i/>
          <w:iCs/>
          <w:sz w:val="28"/>
          <w:szCs w:val="28"/>
        </w:rPr>
        <w:t>lleva necesariamente a que en una sentencia el juez funde sus decisiones en meros antecedentes o indicios, los cuales no tendrán que tener ninguna calificación especial para la imputación del mismo</w:t>
      </w:r>
      <w:r w:rsidRPr="00CD542C">
        <w:rPr>
          <w:sz w:val="28"/>
          <w:szCs w:val="28"/>
        </w:rPr>
        <w:t>”</w:t>
      </w:r>
      <w:r w:rsidRPr="00CD542C">
        <w:rPr>
          <w:rStyle w:val="Refdenotaalpie"/>
          <w:sz w:val="28"/>
          <w:szCs w:val="28"/>
        </w:rPr>
        <w:footnoteReference w:id="6"/>
      </w:r>
      <w:r w:rsidRPr="00CD542C">
        <w:rPr>
          <w:sz w:val="28"/>
          <w:szCs w:val="28"/>
        </w:rPr>
        <w:t>.</w:t>
      </w:r>
    </w:p>
    <w:p w:rsidR="000718E1" w:rsidRPr="00CD542C" w:rsidRDefault="000718E1" w:rsidP="00CD542C">
      <w:pPr>
        <w:spacing w:after="0" w:line="240" w:lineRule="auto"/>
        <w:jc w:val="both"/>
        <w:rPr>
          <w:rFonts w:ascii="Times New Roman" w:hAnsi="Times New Roman"/>
          <w:iCs/>
          <w:sz w:val="28"/>
          <w:szCs w:val="28"/>
          <w:lang w:eastAsia="es-ES"/>
        </w:rPr>
      </w:pPr>
    </w:p>
    <w:p w:rsidR="00A7012D" w:rsidRPr="00CD542C" w:rsidRDefault="00794273" w:rsidP="00CD542C">
      <w:pPr>
        <w:pStyle w:val="Textoindependiente"/>
        <w:spacing w:after="0"/>
        <w:jc w:val="both"/>
        <w:rPr>
          <w:sz w:val="28"/>
          <w:szCs w:val="28"/>
        </w:rPr>
      </w:pPr>
      <w:r w:rsidRPr="00CD542C">
        <w:rPr>
          <w:sz w:val="28"/>
          <w:szCs w:val="28"/>
        </w:rPr>
        <w:t xml:space="preserve">Por </w:t>
      </w:r>
      <w:r w:rsidR="00B934D0" w:rsidRPr="00CD542C">
        <w:rPr>
          <w:sz w:val="28"/>
          <w:szCs w:val="28"/>
        </w:rPr>
        <w:t>último,</w:t>
      </w:r>
      <w:r w:rsidR="00203E48" w:rsidRPr="00CD542C">
        <w:rPr>
          <w:sz w:val="28"/>
          <w:szCs w:val="28"/>
        </w:rPr>
        <w:t xml:space="preserve"> manif</w:t>
      </w:r>
      <w:r w:rsidR="00943F38" w:rsidRPr="00CD542C">
        <w:rPr>
          <w:sz w:val="28"/>
          <w:szCs w:val="28"/>
        </w:rPr>
        <w:t>i</w:t>
      </w:r>
      <w:r w:rsidR="00203E48" w:rsidRPr="00CD542C">
        <w:rPr>
          <w:sz w:val="28"/>
          <w:szCs w:val="28"/>
        </w:rPr>
        <w:t>esta</w:t>
      </w:r>
      <w:r w:rsidRPr="00CD542C">
        <w:rPr>
          <w:sz w:val="28"/>
          <w:szCs w:val="28"/>
        </w:rPr>
        <w:t xml:space="preserve"> que la norma enjuiciada ataca los postulados del derecho procesal penal e induce </w:t>
      </w:r>
      <w:r w:rsidR="00B934D0" w:rsidRPr="00CD542C">
        <w:rPr>
          <w:sz w:val="28"/>
          <w:szCs w:val="28"/>
        </w:rPr>
        <w:t>en error a la administración de justicia, ya que sustancialmente se</w:t>
      </w:r>
      <w:r w:rsidR="00B27BA6" w:rsidRPr="00CD542C">
        <w:rPr>
          <w:sz w:val="28"/>
          <w:szCs w:val="28"/>
        </w:rPr>
        <w:t xml:space="preserve"> condiciona la sentencia penal</w:t>
      </w:r>
      <w:r w:rsidR="00B934D0" w:rsidRPr="00CD542C">
        <w:rPr>
          <w:sz w:val="28"/>
          <w:szCs w:val="28"/>
        </w:rPr>
        <w:t xml:space="preserve">, pues no se garantiza que el juez llegue con total certeza a la existencia del elemento subjetivo en la actuación del </w:t>
      </w:r>
      <w:r w:rsidR="00B27BA6" w:rsidRPr="00CD542C">
        <w:rPr>
          <w:sz w:val="28"/>
          <w:szCs w:val="28"/>
        </w:rPr>
        <w:t xml:space="preserve">autor </w:t>
      </w:r>
      <w:r w:rsidR="00B934D0" w:rsidRPr="00CD542C">
        <w:rPr>
          <w:sz w:val="28"/>
          <w:szCs w:val="28"/>
        </w:rPr>
        <w:t xml:space="preserve">del delito. </w:t>
      </w:r>
      <w:r w:rsidR="004D0C52" w:rsidRPr="00CD542C">
        <w:rPr>
          <w:sz w:val="28"/>
          <w:szCs w:val="28"/>
        </w:rPr>
        <w:t xml:space="preserve">En otras palabras, el operador jurídico no tendría certeza de que quien comete el delito, </w:t>
      </w:r>
      <w:r w:rsidR="00B27BA6" w:rsidRPr="00CD542C">
        <w:rPr>
          <w:sz w:val="28"/>
          <w:szCs w:val="28"/>
        </w:rPr>
        <w:t xml:space="preserve">efectivamente </w:t>
      </w:r>
      <w:r w:rsidR="004D0C52" w:rsidRPr="00CD542C">
        <w:rPr>
          <w:sz w:val="28"/>
          <w:szCs w:val="28"/>
        </w:rPr>
        <w:t>lo haya realizado en</w:t>
      </w:r>
      <w:r w:rsidR="00F63BE7" w:rsidRPr="00CD542C">
        <w:rPr>
          <w:sz w:val="28"/>
          <w:szCs w:val="28"/>
        </w:rPr>
        <w:t xml:space="preserve"> contra de una mujer</w:t>
      </w:r>
      <w:r w:rsidR="000718E1" w:rsidRPr="00CD542C">
        <w:rPr>
          <w:sz w:val="28"/>
          <w:szCs w:val="28"/>
        </w:rPr>
        <w:t xml:space="preserve"> por su condición femenina</w:t>
      </w:r>
      <w:r w:rsidR="00F63BE7" w:rsidRPr="00CD542C">
        <w:rPr>
          <w:sz w:val="28"/>
          <w:szCs w:val="28"/>
        </w:rPr>
        <w:t xml:space="preserve">. </w:t>
      </w:r>
    </w:p>
    <w:p w:rsidR="00D062C4" w:rsidRPr="00CD542C" w:rsidRDefault="00D062C4" w:rsidP="00CD542C">
      <w:pPr>
        <w:pStyle w:val="Textoindependiente"/>
        <w:spacing w:after="0"/>
        <w:jc w:val="both"/>
        <w:rPr>
          <w:sz w:val="28"/>
          <w:szCs w:val="28"/>
        </w:rPr>
      </w:pPr>
    </w:p>
    <w:p w:rsidR="000718E1" w:rsidRPr="00CD542C" w:rsidRDefault="000718E1" w:rsidP="00CD542C">
      <w:pPr>
        <w:spacing w:after="0" w:line="240" w:lineRule="auto"/>
        <w:jc w:val="both"/>
        <w:rPr>
          <w:rFonts w:ascii="Times New Roman" w:hAnsi="Times New Roman"/>
          <w:iCs/>
          <w:sz w:val="28"/>
          <w:szCs w:val="28"/>
          <w:lang w:eastAsia="es-ES"/>
        </w:rPr>
      </w:pPr>
      <w:r w:rsidRPr="00CD542C">
        <w:rPr>
          <w:rFonts w:ascii="Times New Roman" w:hAnsi="Times New Roman"/>
          <w:iCs/>
          <w:sz w:val="28"/>
          <w:szCs w:val="28"/>
          <w:lang w:eastAsia="es-ES"/>
        </w:rPr>
        <w:t>En conclusión, para el demandante, la determinación de antecedentes o indicios de violencia o amenaza en las diferentes esferas sociales en contra de la víctima</w:t>
      </w:r>
      <w:r w:rsidR="004D420E" w:rsidRPr="00CD542C">
        <w:rPr>
          <w:rFonts w:ascii="Times New Roman" w:hAnsi="Times New Roman"/>
          <w:iCs/>
          <w:sz w:val="28"/>
          <w:szCs w:val="28"/>
          <w:lang w:eastAsia="es-ES"/>
        </w:rPr>
        <w:t>,</w:t>
      </w:r>
      <w:r w:rsidR="0098185E" w:rsidRPr="00CD542C">
        <w:rPr>
          <w:rFonts w:ascii="Times New Roman" w:hAnsi="Times New Roman"/>
          <w:iCs/>
          <w:sz w:val="28"/>
          <w:szCs w:val="28"/>
          <w:lang w:eastAsia="es-ES"/>
        </w:rPr>
        <w:t xml:space="preserve"> sin una calificación especial</w:t>
      </w:r>
      <w:r w:rsidR="004D420E" w:rsidRPr="00CD542C">
        <w:rPr>
          <w:rFonts w:ascii="Times New Roman" w:hAnsi="Times New Roman"/>
          <w:iCs/>
          <w:sz w:val="28"/>
          <w:szCs w:val="28"/>
          <w:lang w:eastAsia="es-ES"/>
        </w:rPr>
        <w:t>,</w:t>
      </w:r>
      <w:r w:rsidRPr="00CD542C">
        <w:rPr>
          <w:rFonts w:ascii="Times New Roman" w:hAnsi="Times New Roman"/>
          <w:iCs/>
          <w:sz w:val="28"/>
          <w:szCs w:val="28"/>
          <w:lang w:eastAsia="es-ES"/>
        </w:rPr>
        <w:t xml:space="preserve"> generan una indeterminación en el ingrediente subjetivo del tipo, pues no constituyen suficiente evidencia para demostrar que la motivación del homicidio es el odio o repulsión al género femenino.</w:t>
      </w:r>
    </w:p>
    <w:p w:rsidR="00184063" w:rsidRPr="00CD542C" w:rsidRDefault="00184063" w:rsidP="00CD542C">
      <w:pPr>
        <w:spacing w:after="0" w:line="240" w:lineRule="auto"/>
        <w:jc w:val="both"/>
        <w:rPr>
          <w:rFonts w:ascii="Times New Roman" w:hAnsi="Times New Roman"/>
          <w:sz w:val="28"/>
          <w:szCs w:val="28"/>
          <w:lang w:val="es-ES_tradnl" w:eastAsia="es-ES"/>
        </w:rPr>
      </w:pPr>
    </w:p>
    <w:p w:rsidR="00184063" w:rsidRPr="00CD542C" w:rsidRDefault="004D420E" w:rsidP="00CD542C">
      <w:pPr>
        <w:pStyle w:val="Prrafodelista"/>
        <w:numPr>
          <w:ilvl w:val="0"/>
          <w:numId w:val="1"/>
        </w:numPr>
        <w:jc w:val="both"/>
        <w:rPr>
          <w:b/>
          <w:sz w:val="28"/>
          <w:szCs w:val="28"/>
        </w:rPr>
      </w:pPr>
      <w:r w:rsidRPr="00CD542C">
        <w:rPr>
          <w:b/>
          <w:sz w:val="28"/>
          <w:szCs w:val="28"/>
        </w:rPr>
        <w:lastRenderedPageBreak/>
        <w:t xml:space="preserve"> </w:t>
      </w:r>
      <w:r w:rsidR="00184063" w:rsidRPr="00CD542C">
        <w:rPr>
          <w:b/>
          <w:sz w:val="28"/>
          <w:szCs w:val="28"/>
        </w:rPr>
        <w:t>INTERVENCIONES INSTITUCIONALES</w:t>
      </w:r>
    </w:p>
    <w:p w:rsidR="00D062C4" w:rsidRPr="00CD542C" w:rsidRDefault="00D062C4" w:rsidP="00CD542C">
      <w:pPr>
        <w:spacing w:after="0" w:line="240" w:lineRule="auto"/>
        <w:jc w:val="both"/>
        <w:rPr>
          <w:rFonts w:ascii="Times New Roman" w:hAnsi="Times New Roman"/>
          <w:b/>
          <w:sz w:val="28"/>
          <w:szCs w:val="28"/>
          <w:lang w:eastAsia="es-ES"/>
        </w:rPr>
      </w:pPr>
    </w:p>
    <w:p w:rsidR="00184063" w:rsidRPr="00CD542C" w:rsidRDefault="00184063" w:rsidP="00CD542C">
      <w:pPr>
        <w:spacing w:after="0" w:line="240" w:lineRule="auto"/>
        <w:jc w:val="both"/>
        <w:rPr>
          <w:rFonts w:ascii="Times New Roman" w:hAnsi="Times New Roman"/>
          <w:b/>
          <w:sz w:val="28"/>
          <w:szCs w:val="28"/>
          <w:lang w:eastAsia="es-ES"/>
        </w:rPr>
      </w:pPr>
      <w:r w:rsidRPr="00CD542C">
        <w:rPr>
          <w:rFonts w:ascii="Times New Roman" w:hAnsi="Times New Roman"/>
          <w:b/>
          <w:sz w:val="28"/>
          <w:szCs w:val="28"/>
          <w:lang w:eastAsia="es-ES"/>
        </w:rPr>
        <w:t xml:space="preserve">1. </w:t>
      </w:r>
      <w:r w:rsidR="00D062C4" w:rsidRPr="00CD542C">
        <w:rPr>
          <w:rFonts w:ascii="Times New Roman" w:hAnsi="Times New Roman"/>
          <w:b/>
          <w:sz w:val="28"/>
          <w:szCs w:val="28"/>
          <w:lang w:eastAsia="es-ES"/>
        </w:rPr>
        <w:t>Universidad del Rosario</w:t>
      </w:r>
    </w:p>
    <w:p w:rsidR="00184063" w:rsidRPr="00CD542C" w:rsidRDefault="00184063" w:rsidP="00CD542C">
      <w:pPr>
        <w:spacing w:after="0" w:line="240" w:lineRule="auto"/>
        <w:jc w:val="both"/>
        <w:rPr>
          <w:rFonts w:ascii="Times New Roman" w:hAnsi="Times New Roman"/>
          <w:sz w:val="28"/>
          <w:szCs w:val="28"/>
          <w:lang w:eastAsia="es-ES"/>
        </w:rPr>
      </w:pPr>
    </w:p>
    <w:p w:rsidR="00184063" w:rsidRPr="00CD542C" w:rsidRDefault="00D062C4"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La Directora de la Oficina Jurídica</w:t>
      </w:r>
      <w:r w:rsidR="00147899" w:rsidRPr="00CD542C">
        <w:rPr>
          <w:rFonts w:ascii="Times New Roman" w:hAnsi="Times New Roman"/>
          <w:sz w:val="28"/>
          <w:szCs w:val="28"/>
          <w:lang w:eastAsia="es-ES"/>
        </w:rPr>
        <w:t xml:space="preserve"> de</w:t>
      </w:r>
      <w:r w:rsidRPr="00CD542C">
        <w:rPr>
          <w:rFonts w:ascii="Times New Roman" w:hAnsi="Times New Roman"/>
          <w:sz w:val="28"/>
          <w:szCs w:val="28"/>
          <w:lang w:eastAsia="es-ES"/>
        </w:rPr>
        <w:t xml:space="preserve"> la Universidad, manifestó que por razones administrativas no era posible atender a la solicitud de intervención presentada por esta Corporación. </w:t>
      </w:r>
    </w:p>
    <w:p w:rsidR="00D062C4" w:rsidRPr="00CD542C" w:rsidRDefault="00D062C4" w:rsidP="00CD542C">
      <w:pPr>
        <w:spacing w:after="0" w:line="240" w:lineRule="auto"/>
        <w:jc w:val="both"/>
        <w:rPr>
          <w:rFonts w:ascii="Times New Roman" w:hAnsi="Times New Roman"/>
          <w:b/>
          <w:sz w:val="28"/>
          <w:szCs w:val="28"/>
          <w:lang w:eastAsia="es-ES"/>
        </w:rPr>
      </w:pPr>
    </w:p>
    <w:p w:rsidR="00184063" w:rsidRPr="00CD542C" w:rsidRDefault="00D062C4" w:rsidP="00CD542C">
      <w:pPr>
        <w:spacing w:after="0" w:line="240" w:lineRule="auto"/>
        <w:jc w:val="both"/>
        <w:rPr>
          <w:rFonts w:ascii="Times New Roman" w:hAnsi="Times New Roman"/>
          <w:b/>
          <w:sz w:val="28"/>
          <w:szCs w:val="28"/>
          <w:lang w:eastAsia="es-ES"/>
        </w:rPr>
      </w:pPr>
      <w:r w:rsidRPr="00CD542C">
        <w:rPr>
          <w:rFonts w:ascii="Times New Roman" w:hAnsi="Times New Roman"/>
          <w:b/>
          <w:sz w:val="28"/>
          <w:szCs w:val="28"/>
          <w:lang w:eastAsia="es-ES"/>
        </w:rPr>
        <w:t xml:space="preserve">2. Institución </w:t>
      </w:r>
      <w:r w:rsidR="00147899" w:rsidRPr="00CD542C">
        <w:rPr>
          <w:rFonts w:ascii="Times New Roman" w:hAnsi="Times New Roman"/>
          <w:b/>
          <w:sz w:val="28"/>
          <w:szCs w:val="28"/>
          <w:lang w:eastAsia="es-ES"/>
        </w:rPr>
        <w:t>Universitaria Politécnico Granc</w:t>
      </w:r>
      <w:r w:rsidRPr="00CD542C">
        <w:rPr>
          <w:rFonts w:ascii="Times New Roman" w:hAnsi="Times New Roman"/>
          <w:b/>
          <w:sz w:val="28"/>
          <w:szCs w:val="28"/>
          <w:lang w:eastAsia="es-ES"/>
        </w:rPr>
        <w:t xml:space="preserve">olombiano </w:t>
      </w:r>
    </w:p>
    <w:p w:rsidR="00D062C4" w:rsidRPr="00CD542C" w:rsidRDefault="00D062C4" w:rsidP="00CD542C">
      <w:pPr>
        <w:spacing w:after="0" w:line="240" w:lineRule="auto"/>
        <w:jc w:val="both"/>
        <w:rPr>
          <w:rFonts w:ascii="Times New Roman" w:hAnsi="Times New Roman"/>
          <w:sz w:val="28"/>
          <w:szCs w:val="28"/>
          <w:lang w:eastAsia="es-ES"/>
        </w:rPr>
      </w:pPr>
    </w:p>
    <w:p w:rsidR="00184063" w:rsidRPr="00CD542C" w:rsidRDefault="00147899"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El representante de l</w:t>
      </w:r>
      <w:r w:rsidR="00DD154A" w:rsidRPr="00CD542C">
        <w:rPr>
          <w:rFonts w:ascii="Times New Roman" w:hAnsi="Times New Roman"/>
          <w:sz w:val="28"/>
          <w:szCs w:val="28"/>
          <w:lang w:eastAsia="es-ES"/>
        </w:rPr>
        <w:t>a Universidad</w:t>
      </w:r>
      <w:r w:rsidR="00DD154A" w:rsidRPr="00CD542C">
        <w:rPr>
          <w:rFonts w:ascii="Times New Roman" w:hAnsi="Times New Roman"/>
          <w:sz w:val="28"/>
          <w:szCs w:val="28"/>
        </w:rPr>
        <w:t xml:space="preserve"> </w:t>
      </w:r>
      <w:r w:rsidRPr="00CD542C">
        <w:rPr>
          <w:rFonts w:ascii="Times New Roman" w:hAnsi="Times New Roman"/>
          <w:sz w:val="28"/>
          <w:szCs w:val="28"/>
          <w:lang w:eastAsia="es-ES"/>
        </w:rPr>
        <w:t>Politécnico Granc</w:t>
      </w:r>
      <w:r w:rsidR="00DD154A" w:rsidRPr="00CD542C">
        <w:rPr>
          <w:rFonts w:ascii="Times New Roman" w:hAnsi="Times New Roman"/>
          <w:sz w:val="28"/>
          <w:szCs w:val="28"/>
          <w:lang w:eastAsia="es-ES"/>
        </w:rPr>
        <w:t>olombiano</w:t>
      </w:r>
      <w:r w:rsidR="00E070D1" w:rsidRPr="00CD542C">
        <w:rPr>
          <w:rFonts w:ascii="Times New Roman" w:hAnsi="Times New Roman"/>
          <w:sz w:val="28"/>
          <w:szCs w:val="28"/>
          <w:lang w:eastAsia="es-ES"/>
        </w:rPr>
        <w:t xml:space="preserve">, </w:t>
      </w:r>
      <w:r w:rsidRPr="00CD542C">
        <w:rPr>
          <w:rFonts w:ascii="Times New Roman" w:hAnsi="Times New Roman"/>
          <w:sz w:val="28"/>
          <w:szCs w:val="28"/>
          <w:lang w:eastAsia="es-ES"/>
        </w:rPr>
        <w:t xml:space="preserve">actuando como </w:t>
      </w:r>
      <w:r w:rsidR="00E070D1" w:rsidRPr="00CD542C">
        <w:rPr>
          <w:rFonts w:ascii="Times New Roman" w:hAnsi="Times New Roman"/>
          <w:sz w:val="28"/>
          <w:szCs w:val="28"/>
          <w:lang w:eastAsia="es-ES"/>
        </w:rPr>
        <w:t>miembro del Observatorio de Derecho C</w:t>
      </w:r>
      <w:r w:rsidR="00B27152" w:rsidRPr="00CD542C">
        <w:rPr>
          <w:rFonts w:ascii="Times New Roman" w:hAnsi="Times New Roman"/>
          <w:sz w:val="28"/>
          <w:szCs w:val="28"/>
          <w:lang w:eastAsia="es-ES"/>
        </w:rPr>
        <w:t xml:space="preserve">onstitucional de la Universidad, </w:t>
      </w:r>
      <w:r w:rsidR="00E070D1" w:rsidRPr="00CD542C">
        <w:rPr>
          <w:rFonts w:ascii="Times New Roman" w:hAnsi="Times New Roman"/>
          <w:sz w:val="28"/>
          <w:szCs w:val="28"/>
          <w:lang w:eastAsia="es-ES"/>
        </w:rPr>
        <w:t xml:space="preserve">solicita que se declare la </w:t>
      </w:r>
      <w:r w:rsidRPr="00CD542C">
        <w:rPr>
          <w:rFonts w:ascii="Times New Roman" w:hAnsi="Times New Roman"/>
          <w:b/>
          <w:sz w:val="28"/>
          <w:szCs w:val="28"/>
          <w:lang w:eastAsia="es-ES"/>
        </w:rPr>
        <w:t>INEXEQUIBILIDAD</w:t>
      </w:r>
      <w:r w:rsidR="00E070D1" w:rsidRPr="00CD542C">
        <w:rPr>
          <w:rFonts w:ascii="Times New Roman" w:hAnsi="Times New Roman"/>
          <w:b/>
          <w:sz w:val="28"/>
          <w:szCs w:val="28"/>
          <w:lang w:eastAsia="es-ES"/>
        </w:rPr>
        <w:t xml:space="preserve"> </w:t>
      </w:r>
      <w:r w:rsidR="00E070D1" w:rsidRPr="00CD542C">
        <w:rPr>
          <w:rFonts w:ascii="Times New Roman" w:hAnsi="Times New Roman"/>
          <w:sz w:val="28"/>
          <w:szCs w:val="28"/>
          <w:lang w:eastAsia="es-ES"/>
        </w:rPr>
        <w:t xml:space="preserve">del aparte normativo demandado. </w:t>
      </w:r>
    </w:p>
    <w:p w:rsidR="00E070D1" w:rsidRPr="00CD542C" w:rsidRDefault="00E070D1" w:rsidP="00CD542C">
      <w:pPr>
        <w:spacing w:after="0" w:line="240" w:lineRule="auto"/>
        <w:jc w:val="both"/>
        <w:rPr>
          <w:rFonts w:ascii="Times New Roman" w:hAnsi="Times New Roman"/>
          <w:sz w:val="28"/>
          <w:szCs w:val="28"/>
          <w:lang w:eastAsia="es-ES"/>
        </w:rPr>
      </w:pPr>
    </w:p>
    <w:p w:rsidR="00A2697F" w:rsidRPr="00CD542C" w:rsidRDefault="00E070D1"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El interviniente sostiene que</w:t>
      </w:r>
      <w:r w:rsidR="00E449B4" w:rsidRPr="00CD542C">
        <w:rPr>
          <w:rFonts w:ascii="Times New Roman" w:hAnsi="Times New Roman"/>
          <w:sz w:val="28"/>
          <w:szCs w:val="28"/>
          <w:lang w:eastAsia="es-ES"/>
        </w:rPr>
        <w:t>,</w:t>
      </w:r>
      <w:r w:rsidRPr="00CD542C">
        <w:rPr>
          <w:rFonts w:ascii="Times New Roman" w:hAnsi="Times New Roman"/>
          <w:sz w:val="28"/>
          <w:szCs w:val="28"/>
          <w:lang w:eastAsia="es-ES"/>
        </w:rPr>
        <w:t xml:space="preserve"> con base en la reiterada y múltiple jur</w:t>
      </w:r>
      <w:r w:rsidR="00E449B4" w:rsidRPr="00CD542C">
        <w:rPr>
          <w:rFonts w:ascii="Times New Roman" w:hAnsi="Times New Roman"/>
          <w:sz w:val="28"/>
          <w:szCs w:val="28"/>
          <w:lang w:eastAsia="es-ES"/>
        </w:rPr>
        <w:t>isprudencia constitucional, el L</w:t>
      </w:r>
      <w:r w:rsidR="00B27BA6" w:rsidRPr="00CD542C">
        <w:rPr>
          <w:rFonts w:ascii="Times New Roman" w:hAnsi="Times New Roman"/>
          <w:sz w:val="28"/>
          <w:szCs w:val="28"/>
          <w:lang w:eastAsia="es-ES"/>
        </w:rPr>
        <w:t>egislador cuenta con</w:t>
      </w:r>
      <w:r w:rsidRPr="00CD542C">
        <w:rPr>
          <w:rFonts w:ascii="Times New Roman" w:hAnsi="Times New Roman"/>
          <w:sz w:val="28"/>
          <w:szCs w:val="28"/>
          <w:lang w:eastAsia="es-ES"/>
        </w:rPr>
        <w:t xml:space="preserve"> libertad de configuración que </w:t>
      </w:r>
      <w:r w:rsidR="00A2697F" w:rsidRPr="00CD542C">
        <w:rPr>
          <w:rFonts w:ascii="Times New Roman" w:hAnsi="Times New Roman"/>
          <w:sz w:val="28"/>
          <w:szCs w:val="28"/>
          <w:lang w:eastAsia="es-ES"/>
        </w:rPr>
        <w:t xml:space="preserve">debe </w:t>
      </w:r>
      <w:r w:rsidR="00B27BA6" w:rsidRPr="00CD542C">
        <w:rPr>
          <w:rFonts w:ascii="Times New Roman" w:hAnsi="Times New Roman"/>
          <w:sz w:val="28"/>
          <w:szCs w:val="28"/>
          <w:lang w:eastAsia="es-ES"/>
        </w:rPr>
        <w:t xml:space="preserve">someterse </w:t>
      </w:r>
      <w:r w:rsidR="00A2697F" w:rsidRPr="00CD542C">
        <w:rPr>
          <w:rFonts w:ascii="Times New Roman" w:hAnsi="Times New Roman"/>
          <w:sz w:val="28"/>
          <w:szCs w:val="28"/>
          <w:lang w:eastAsia="es-ES"/>
        </w:rPr>
        <w:t>a los principios de objetividad, racionalidad, proporcionalidad y finalidad. D</w:t>
      </w:r>
      <w:r w:rsidR="00E449B4" w:rsidRPr="00CD542C">
        <w:rPr>
          <w:rFonts w:ascii="Times New Roman" w:hAnsi="Times New Roman"/>
          <w:sz w:val="28"/>
          <w:szCs w:val="28"/>
          <w:lang w:eastAsia="es-ES"/>
        </w:rPr>
        <w:t>ichos principios le impiden al L</w:t>
      </w:r>
      <w:r w:rsidR="00A2697F" w:rsidRPr="00CD542C">
        <w:rPr>
          <w:rFonts w:ascii="Times New Roman" w:hAnsi="Times New Roman"/>
          <w:sz w:val="28"/>
          <w:szCs w:val="28"/>
          <w:lang w:eastAsia="es-ES"/>
        </w:rPr>
        <w:t>egis</w:t>
      </w:r>
      <w:r w:rsidR="00B27BA6" w:rsidRPr="00CD542C">
        <w:rPr>
          <w:rFonts w:ascii="Times New Roman" w:hAnsi="Times New Roman"/>
          <w:sz w:val="28"/>
          <w:szCs w:val="28"/>
          <w:lang w:eastAsia="es-ES"/>
        </w:rPr>
        <w:t>lador crear tipos penales ambigü</w:t>
      </w:r>
      <w:r w:rsidR="00A2697F" w:rsidRPr="00CD542C">
        <w:rPr>
          <w:rFonts w:ascii="Times New Roman" w:hAnsi="Times New Roman"/>
          <w:sz w:val="28"/>
          <w:szCs w:val="28"/>
          <w:lang w:eastAsia="es-ES"/>
        </w:rPr>
        <w:t>os o de aplicación retroactiva. Además, exige que s</w:t>
      </w:r>
      <w:r w:rsidR="00B27BA6" w:rsidRPr="00CD542C">
        <w:rPr>
          <w:rFonts w:ascii="Times New Roman" w:hAnsi="Times New Roman"/>
          <w:sz w:val="28"/>
          <w:szCs w:val="28"/>
          <w:lang w:eastAsia="es-ES"/>
        </w:rPr>
        <w:t>e describa de forma precisa</w:t>
      </w:r>
      <w:r w:rsidR="00A2697F" w:rsidRPr="00CD542C">
        <w:rPr>
          <w:rFonts w:ascii="Times New Roman" w:hAnsi="Times New Roman"/>
          <w:sz w:val="28"/>
          <w:szCs w:val="28"/>
          <w:lang w:eastAsia="es-ES"/>
        </w:rPr>
        <w:t xml:space="preserve"> la conducta que se ha estimado necesario castigar, así como de los castigos que se van a imponer.</w:t>
      </w:r>
    </w:p>
    <w:p w:rsidR="00A2697F" w:rsidRPr="00CD542C" w:rsidRDefault="00A2697F" w:rsidP="00CD542C">
      <w:pPr>
        <w:spacing w:after="0" w:line="240" w:lineRule="auto"/>
        <w:jc w:val="both"/>
        <w:rPr>
          <w:rFonts w:ascii="Times New Roman" w:hAnsi="Times New Roman"/>
          <w:sz w:val="28"/>
          <w:szCs w:val="28"/>
          <w:lang w:eastAsia="es-ES"/>
        </w:rPr>
      </w:pPr>
    </w:p>
    <w:p w:rsidR="00A2697F" w:rsidRPr="00CD542C" w:rsidRDefault="00A2697F" w:rsidP="00CD542C">
      <w:pPr>
        <w:spacing w:after="0" w:line="240" w:lineRule="auto"/>
        <w:jc w:val="both"/>
        <w:rPr>
          <w:rFonts w:ascii="Times New Roman" w:hAnsi="Times New Roman"/>
          <w:i/>
          <w:sz w:val="28"/>
          <w:szCs w:val="28"/>
          <w:lang w:eastAsia="es-ES"/>
        </w:rPr>
      </w:pPr>
      <w:r w:rsidRPr="00CD542C">
        <w:rPr>
          <w:rFonts w:ascii="Times New Roman" w:hAnsi="Times New Roman"/>
          <w:sz w:val="28"/>
          <w:szCs w:val="28"/>
          <w:lang w:eastAsia="es-ES"/>
        </w:rPr>
        <w:t xml:space="preserve">Con fundamento en lo anterior, </w:t>
      </w:r>
      <w:r w:rsidR="00DD154A" w:rsidRPr="00CD542C">
        <w:rPr>
          <w:rFonts w:ascii="Times New Roman" w:hAnsi="Times New Roman"/>
          <w:sz w:val="28"/>
          <w:szCs w:val="28"/>
          <w:lang w:eastAsia="es-ES"/>
        </w:rPr>
        <w:t xml:space="preserve">solicita a la Corte que al revisar la constitucionalidad de la norma realice un juicio de proporcionalidad que tenga </w:t>
      </w:r>
      <w:r w:rsidRPr="00CD542C">
        <w:rPr>
          <w:rFonts w:ascii="Times New Roman" w:hAnsi="Times New Roman"/>
          <w:sz w:val="28"/>
          <w:szCs w:val="28"/>
          <w:lang w:eastAsia="es-ES"/>
        </w:rPr>
        <w:t xml:space="preserve"> como premisa principal, la siguiente pregunta: </w:t>
      </w:r>
      <w:r w:rsidR="00DB59A1" w:rsidRPr="00CD542C">
        <w:rPr>
          <w:rFonts w:ascii="Times New Roman" w:hAnsi="Times New Roman"/>
          <w:i/>
          <w:sz w:val="28"/>
          <w:szCs w:val="28"/>
          <w:lang w:eastAsia="es-ES"/>
        </w:rPr>
        <w:t>¿[e]</w:t>
      </w:r>
      <w:r w:rsidRPr="00CD542C">
        <w:rPr>
          <w:rFonts w:ascii="Times New Roman" w:hAnsi="Times New Roman"/>
          <w:i/>
          <w:sz w:val="28"/>
          <w:szCs w:val="28"/>
          <w:lang w:eastAsia="es-ES"/>
        </w:rPr>
        <w:t xml:space="preserve">s razonable establecer como supuesto de hecho del feminicidio la existencia de antecedentes o indicios de cualquier </w:t>
      </w:r>
      <w:r w:rsidR="00DB59A1" w:rsidRPr="00CD542C">
        <w:rPr>
          <w:rFonts w:ascii="Times New Roman" w:hAnsi="Times New Roman"/>
          <w:i/>
          <w:sz w:val="28"/>
          <w:szCs w:val="28"/>
          <w:lang w:eastAsia="es-ES"/>
        </w:rPr>
        <w:t>tipo de violencia o amenaza en el ámbito doméstico, familiar, laboral o escolar que justifiquen la impos</w:t>
      </w:r>
      <w:r w:rsidR="00943F38" w:rsidRPr="00CD542C">
        <w:rPr>
          <w:rFonts w:ascii="Times New Roman" w:hAnsi="Times New Roman"/>
          <w:i/>
          <w:sz w:val="28"/>
          <w:szCs w:val="28"/>
          <w:lang w:eastAsia="es-ES"/>
        </w:rPr>
        <w:t>ición de penas descritas en la L</w:t>
      </w:r>
      <w:r w:rsidR="00DB59A1" w:rsidRPr="00CD542C">
        <w:rPr>
          <w:rFonts w:ascii="Times New Roman" w:hAnsi="Times New Roman"/>
          <w:i/>
          <w:sz w:val="28"/>
          <w:szCs w:val="28"/>
          <w:lang w:eastAsia="es-ES"/>
        </w:rPr>
        <w:t>ey 1761 de 2015?</w:t>
      </w:r>
      <w:r w:rsidR="00DB59A1" w:rsidRPr="00CD542C">
        <w:rPr>
          <w:rStyle w:val="Refdenotaalpie"/>
          <w:rFonts w:ascii="Times New Roman" w:hAnsi="Times New Roman"/>
          <w:i/>
          <w:sz w:val="28"/>
          <w:szCs w:val="28"/>
          <w:lang w:eastAsia="es-ES"/>
        </w:rPr>
        <w:footnoteReference w:id="7"/>
      </w:r>
      <w:r w:rsidRPr="00CD542C">
        <w:rPr>
          <w:rFonts w:ascii="Times New Roman" w:hAnsi="Times New Roman"/>
          <w:i/>
          <w:sz w:val="28"/>
          <w:szCs w:val="28"/>
          <w:lang w:eastAsia="es-ES"/>
        </w:rPr>
        <w:t xml:space="preserve"> </w:t>
      </w:r>
    </w:p>
    <w:p w:rsidR="00A2697F" w:rsidRPr="00CD542C" w:rsidRDefault="00A2697F" w:rsidP="00CD542C">
      <w:pPr>
        <w:spacing w:after="0" w:line="240" w:lineRule="auto"/>
        <w:jc w:val="both"/>
        <w:rPr>
          <w:rFonts w:ascii="Times New Roman" w:hAnsi="Times New Roman"/>
          <w:sz w:val="28"/>
          <w:szCs w:val="28"/>
          <w:lang w:eastAsia="es-ES"/>
        </w:rPr>
      </w:pPr>
    </w:p>
    <w:p w:rsidR="00E070D1" w:rsidRPr="00CD542C" w:rsidRDefault="00DB59A1"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Al desarroll</w:t>
      </w:r>
      <w:r w:rsidR="00E449B4" w:rsidRPr="00CD542C">
        <w:rPr>
          <w:rFonts w:ascii="Times New Roman" w:hAnsi="Times New Roman"/>
          <w:sz w:val="28"/>
          <w:szCs w:val="28"/>
          <w:lang w:eastAsia="es-ES"/>
        </w:rPr>
        <w:t>ar el juicio propuesto, concluye</w:t>
      </w:r>
      <w:r w:rsidRPr="00CD542C">
        <w:rPr>
          <w:rFonts w:ascii="Times New Roman" w:hAnsi="Times New Roman"/>
          <w:sz w:val="28"/>
          <w:szCs w:val="28"/>
          <w:lang w:eastAsia="es-ES"/>
        </w:rPr>
        <w:t xml:space="preserve"> que</w:t>
      </w:r>
      <w:r w:rsidR="009A16FD" w:rsidRPr="00CD542C">
        <w:rPr>
          <w:rFonts w:ascii="Times New Roman" w:hAnsi="Times New Roman"/>
          <w:sz w:val="28"/>
          <w:szCs w:val="28"/>
          <w:lang w:eastAsia="es-ES"/>
        </w:rPr>
        <w:t xml:space="preserve"> “</w:t>
      </w:r>
      <w:r w:rsidR="009A16FD" w:rsidRPr="00CD542C">
        <w:rPr>
          <w:rFonts w:ascii="Times New Roman" w:hAnsi="Times New Roman"/>
          <w:i/>
          <w:iCs/>
          <w:sz w:val="28"/>
          <w:szCs w:val="28"/>
          <w:lang w:eastAsia="es-ES"/>
        </w:rPr>
        <w:t>el legislador excedió su facultad de configuración legislativa como quiera que ató la imposición de una sanción especial a la comisión de una conducta que no puede determinarse con precisión y claridad y cuya valoración y adecuación típica puede variar de un sujeto a otro</w:t>
      </w:r>
      <w:r w:rsidR="009A16FD" w:rsidRPr="00CD542C">
        <w:rPr>
          <w:rFonts w:ascii="Times New Roman" w:hAnsi="Times New Roman"/>
          <w:sz w:val="28"/>
          <w:szCs w:val="28"/>
          <w:lang w:eastAsia="es-ES"/>
        </w:rPr>
        <w:t>”</w:t>
      </w:r>
      <w:r w:rsidR="009A16FD" w:rsidRPr="00CD542C">
        <w:rPr>
          <w:rStyle w:val="Refdenotaalpie"/>
          <w:rFonts w:ascii="Times New Roman" w:hAnsi="Times New Roman"/>
          <w:sz w:val="28"/>
          <w:szCs w:val="28"/>
          <w:lang w:eastAsia="es-ES"/>
        </w:rPr>
        <w:footnoteReference w:id="8"/>
      </w:r>
      <w:r w:rsidR="009A16FD" w:rsidRPr="00CD542C">
        <w:rPr>
          <w:rFonts w:ascii="Times New Roman" w:hAnsi="Times New Roman"/>
          <w:sz w:val="28"/>
          <w:szCs w:val="28"/>
          <w:lang w:eastAsia="es-ES"/>
        </w:rPr>
        <w:t>.</w:t>
      </w:r>
      <w:r w:rsidRPr="00CD542C">
        <w:rPr>
          <w:rFonts w:ascii="Times New Roman" w:hAnsi="Times New Roman"/>
          <w:sz w:val="28"/>
          <w:szCs w:val="28"/>
          <w:lang w:eastAsia="es-ES"/>
        </w:rPr>
        <w:t xml:space="preserve"> </w:t>
      </w:r>
      <w:r w:rsidR="009A16FD" w:rsidRPr="00CD542C">
        <w:rPr>
          <w:rFonts w:ascii="Times New Roman" w:hAnsi="Times New Roman"/>
          <w:sz w:val="28"/>
          <w:szCs w:val="28"/>
          <w:lang w:eastAsia="es-ES"/>
        </w:rPr>
        <w:t xml:space="preserve">Así pues, señala que </w:t>
      </w:r>
      <w:r w:rsidR="00C70F70" w:rsidRPr="00CD542C">
        <w:rPr>
          <w:rFonts w:ascii="Times New Roman" w:hAnsi="Times New Roman"/>
          <w:sz w:val="28"/>
          <w:szCs w:val="28"/>
          <w:lang w:eastAsia="es-ES"/>
        </w:rPr>
        <w:t xml:space="preserve">se vulneran los principios </w:t>
      </w:r>
      <w:r w:rsidR="00B27152" w:rsidRPr="00CD542C">
        <w:rPr>
          <w:rFonts w:ascii="Times New Roman" w:hAnsi="Times New Roman"/>
          <w:sz w:val="28"/>
          <w:szCs w:val="28"/>
          <w:lang w:eastAsia="es-ES"/>
        </w:rPr>
        <w:t xml:space="preserve">de </w:t>
      </w:r>
      <w:r w:rsidR="00C70F70" w:rsidRPr="00CD542C">
        <w:rPr>
          <w:rFonts w:ascii="Times New Roman" w:hAnsi="Times New Roman"/>
          <w:sz w:val="28"/>
          <w:szCs w:val="28"/>
          <w:lang w:eastAsia="es-ES"/>
        </w:rPr>
        <w:t xml:space="preserve">proporcionalidad y razonabilidad fijados en la Constitución, </w:t>
      </w:r>
      <w:r w:rsidR="003143D5" w:rsidRPr="00CD542C">
        <w:rPr>
          <w:rFonts w:ascii="Times New Roman" w:hAnsi="Times New Roman"/>
          <w:sz w:val="28"/>
          <w:szCs w:val="28"/>
          <w:lang w:eastAsia="es-ES"/>
        </w:rPr>
        <w:t>pues</w:t>
      </w:r>
      <w:r w:rsidR="00C70F70" w:rsidRPr="00CD542C">
        <w:rPr>
          <w:rFonts w:ascii="Times New Roman" w:hAnsi="Times New Roman"/>
          <w:sz w:val="28"/>
          <w:szCs w:val="28"/>
          <w:lang w:eastAsia="es-ES"/>
        </w:rPr>
        <w:t xml:space="preserve"> </w:t>
      </w:r>
      <w:r w:rsidR="009A16FD" w:rsidRPr="00CD542C">
        <w:rPr>
          <w:rFonts w:ascii="Times New Roman" w:hAnsi="Times New Roman"/>
          <w:sz w:val="28"/>
          <w:szCs w:val="28"/>
          <w:lang w:eastAsia="es-ES"/>
        </w:rPr>
        <w:t>se trata de un tipo penal abierto</w:t>
      </w:r>
      <w:r w:rsidRPr="00CD542C">
        <w:rPr>
          <w:rFonts w:ascii="Times New Roman" w:hAnsi="Times New Roman"/>
          <w:sz w:val="28"/>
          <w:szCs w:val="28"/>
          <w:lang w:eastAsia="es-ES"/>
        </w:rPr>
        <w:t xml:space="preserve"> sin criterios claros y objetivos para determinar las circunstancias que configuran un antecedente o un indicio de violencia</w:t>
      </w:r>
      <w:r w:rsidR="003143D5" w:rsidRPr="00CD542C">
        <w:rPr>
          <w:rFonts w:ascii="Times New Roman" w:hAnsi="Times New Roman"/>
          <w:sz w:val="28"/>
          <w:szCs w:val="28"/>
          <w:lang w:eastAsia="es-ES"/>
        </w:rPr>
        <w:t xml:space="preserve"> </w:t>
      </w:r>
      <w:r w:rsidR="009A16FD" w:rsidRPr="00CD542C">
        <w:rPr>
          <w:rFonts w:ascii="Times New Roman" w:hAnsi="Times New Roman"/>
          <w:sz w:val="28"/>
          <w:szCs w:val="28"/>
          <w:lang w:eastAsia="es-ES"/>
        </w:rPr>
        <w:t>o amenaza lo cual abre “</w:t>
      </w:r>
      <w:r w:rsidR="009A16FD" w:rsidRPr="00CD542C">
        <w:rPr>
          <w:rFonts w:ascii="Times New Roman" w:hAnsi="Times New Roman"/>
          <w:i/>
          <w:iCs/>
          <w:sz w:val="28"/>
          <w:szCs w:val="28"/>
          <w:lang w:eastAsia="es-ES"/>
        </w:rPr>
        <w:t>la posibilidad al juez para considerar como antecedente situaciones diferentes a las relacionadas con el feminicidio</w:t>
      </w:r>
      <w:r w:rsidR="009A16FD" w:rsidRPr="00CD542C">
        <w:rPr>
          <w:rFonts w:ascii="Times New Roman" w:hAnsi="Times New Roman"/>
          <w:sz w:val="28"/>
          <w:szCs w:val="28"/>
          <w:lang w:eastAsia="es-ES"/>
        </w:rPr>
        <w:t>”</w:t>
      </w:r>
      <w:r w:rsidR="009A16FD" w:rsidRPr="00CD542C">
        <w:rPr>
          <w:rStyle w:val="Refdenotaalpie"/>
          <w:rFonts w:ascii="Times New Roman" w:hAnsi="Times New Roman"/>
          <w:sz w:val="28"/>
          <w:szCs w:val="28"/>
          <w:lang w:eastAsia="es-ES"/>
        </w:rPr>
        <w:footnoteReference w:id="9"/>
      </w:r>
      <w:r w:rsidR="00C70F70" w:rsidRPr="00CD542C">
        <w:rPr>
          <w:rFonts w:ascii="Times New Roman" w:hAnsi="Times New Roman"/>
          <w:sz w:val="28"/>
          <w:szCs w:val="28"/>
          <w:lang w:eastAsia="es-ES"/>
        </w:rPr>
        <w:t>.</w:t>
      </w:r>
    </w:p>
    <w:p w:rsidR="00184063" w:rsidRPr="00CD542C" w:rsidRDefault="00184063" w:rsidP="00CD542C">
      <w:pPr>
        <w:spacing w:after="0" w:line="240" w:lineRule="auto"/>
        <w:jc w:val="both"/>
        <w:rPr>
          <w:rFonts w:ascii="Times New Roman" w:hAnsi="Times New Roman"/>
          <w:b/>
          <w:sz w:val="28"/>
          <w:szCs w:val="28"/>
          <w:lang w:eastAsia="es-ES"/>
        </w:rPr>
      </w:pPr>
    </w:p>
    <w:p w:rsidR="00184063" w:rsidRPr="00CD542C" w:rsidRDefault="00184063" w:rsidP="00CD542C">
      <w:pPr>
        <w:spacing w:after="0" w:line="240" w:lineRule="auto"/>
        <w:jc w:val="both"/>
        <w:rPr>
          <w:rFonts w:ascii="Times New Roman" w:hAnsi="Times New Roman"/>
          <w:b/>
          <w:sz w:val="28"/>
          <w:szCs w:val="28"/>
          <w:lang w:eastAsia="es-ES"/>
        </w:rPr>
      </w:pPr>
      <w:r w:rsidRPr="00CD542C">
        <w:rPr>
          <w:rFonts w:ascii="Times New Roman" w:hAnsi="Times New Roman"/>
          <w:b/>
          <w:sz w:val="28"/>
          <w:szCs w:val="28"/>
          <w:lang w:eastAsia="es-ES"/>
        </w:rPr>
        <w:t xml:space="preserve">3. </w:t>
      </w:r>
      <w:r w:rsidR="00C70F70" w:rsidRPr="00CD542C">
        <w:rPr>
          <w:rFonts w:ascii="Times New Roman" w:hAnsi="Times New Roman"/>
          <w:b/>
          <w:sz w:val="28"/>
          <w:szCs w:val="28"/>
          <w:lang w:eastAsia="es-ES"/>
        </w:rPr>
        <w:t>Secretaría Distrital de la Mujer</w:t>
      </w:r>
      <w:r w:rsidR="00582074" w:rsidRPr="00CD542C">
        <w:rPr>
          <w:rFonts w:ascii="Times New Roman" w:hAnsi="Times New Roman"/>
          <w:b/>
          <w:sz w:val="28"/>
          <w:szCs w:val="28"/>
          <w:lang w:eastAsia="es-ES"/>
        </w:rPr>
        <w:t xml:space="preserve"> (Bogotá)</w:t>
      </w:r>
      <w:r w:rsidRPr="00CD542C">
        <w:rPr>
          <w:rFonts w:ascii="Times New Roman" w:hAnsi="Times New Roman"/>
          <w:b/>
          <w:sz w:val="28"/>
          <w:szCs w:val="28"/>
          <w:lang w:eastAsia="es-ES"/>
        </w:rPr>
        <w:t xml:space="preserve"> </w:t>
      </w:r>
    </w:p>
    <w:p w:rsidR="00184063" w:rsidRPr="00CD542C" w:rsidRDefault="00184063" w:rsidP="00CD542C">
      <w:pPr>
        <w:spacing w:after="0" w:line="240" w:lineRule="auto"/>
        <w:jc w:val="both"/>
        <w:rPr>
          <w:rFonts w:ascii="Times New Roman" w:hAnsi="Times New Roman"/>
          <w:b/>
          <w:sz w:val="28"/>
          <w:szCs w:val="28"/>
          <w:lang w:eastAsia="es-ES"/>
        </w:rPr>
      </w:pPr>
    </w:p>
    <w:p w:rsidR="00184063" w:rsidRPr="00CD542C" w:rsidRDefault="00DD154A"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lastRenderedPageBreak/>
        <w:t>La Secretaría Distrital de la Mu</w:t>
      </w:r>
      <w:r w:rsidR="00D65C2E" w:rsidRPr="00CD542C">
        <w:rPr>
          <w:rFonts w:ascii="Times New Roman" w:hAnsi="Times New Roman"/>
          <w:sz w:val="28"/>
          <w:szCs w:val="28"/>
          <w:lang w:eastAsia="es-ES"/>
        </w:rPr>
        <w:t>jer, actuando mediante la jefa de la oficina de asesoría jurídica</w:t>
      </w:r>
      <w:r w:rsidRPr="00CD542C">
        <w:rPr>
          <w:rFonts w:ascii="Times New Roman" w:hAnsi="Times New Roman"/>
          <w:sz w:val="28"/>
          <w:szCs w:val="28"/>
          <w:lang w:eastAsia="es-ES"/>
        </w:rPr>
        <w:t xml:space="preserve">, solicita </w:t>
      </w:r>
      <w:r w:rsidR="00184063" w:rsidRPr="00CD542C">
        <w:rPr>
          <w:rFonts w:ascii="Times New Roman" w:hAnsi="Times New Roman"/>
          <w:sz w:val="28"/>
          <w:szCs w:val="28"/>
          <w:lang w:eastAsia="es-ES"/>
        </w:rPr>
        <w:t xml:space="preserve">que se declare la </w:t>
      </w:r>
      <w:r w:rsidR="004744F9" w:rsidRPr="00CD542C">
        <w:rPr>
          <w:rFonts w:ascii="Times New Roman" w:hAnsi="Times New Roman"/>
          <w:b/>
          <w:sz w:val="28"/>
          <w:szCs w:val="28"/>
          <w:lang w:eastAsia="es-ES"/>
        </w:rPr>
        <w:t>CONSTITUCIONALIDAD</w:t>
      </w:r>
      <w:r w:rsidR="00184063" w:rsidRPr="00CD542C">
        <w:rPr>
          <w:rFonts w:ascii="Times New Roman" w:hAnsi="Times New Roman"/>
          <w:b/>
          <w:sz w:val="28"/>
          <w:szCs w:val="28"/>
          <w:lang w:eastAsia="es-ES"/>
        </w:rPr>
        <w:t xml:space="preserve"> </w:t>
      </w:r>
      <w:r w:rsidR="00184063" w:rsidRPr="00CD542C">
        <w:rPr>
          <w:rFonts w:ascii="Times New Roman" w:hAnsi="Times New Roman"/>
          <w:sz w:val="28"/>
          <w:szCs w:val="28"/>
          <w:lang w:eastAsia="es-ES"/>
        </w:rPr>
        <w:t>de la expresión demandada</w:t>
      </w:r>
      <w:r w:rsidR="00955AB5" w:rsidRPr="00CD542C">
        <w:rPr>
          <w:rFonts w:ascii="Times New Roman" w:hAnsi="Times New Roman"/>
          <w:sz w:val="28"/>
          <w:szCs w:val="28"/>
          <w:lang w:eastAsia="es-ES"/>
        </w:rPr>
        <w:t xml:space="preserve">. La interviniente </w:t>
      </w:r>
      <w:r w:rsidR="005E2B42" w:rsidRPr="00CD542C">
        <w:rPr>
          <w:rFonts w:ascii="Times New Roman" w:hAnsi="Times New Roman"/>
          <w:sz w:val="28"/>
          <w:szCs w:val="28"/>
          <w:lang w:eastAsia="es-ES"/>
        </w:rPr>
        <w:t xml:space="preserve">primero, </w:t>
      </w:r>
      <w:r w:rsidR="00955AB5" w:rsidRPr="00CD542C">
        <w:rPr>
          <w:rFonts w:ascii="Times New Roman" w:hAnsi="Times New Roman"/>
          <w:sz w:val="28"/>
          <w:szCs w:val="28"/>
          <w:lang w:eastAsia="es-ES"/>
        </w:rPr>
        <w:t>expone la normativa internacional que hace parte d</w:t>
      </w:r>
      <w:r w:rsidR="003143D5" w:rsidRPr="00CD542C">
        <w:rPr>
          <w:rFonts w:ascii="Times New Roman" w:hAnsi="Times New Roman"/>
          <w:sz w:val="28"/>
          <w:szCs w:val="28"/>
          <w:lang w:eastAsia="es-ES"/>
        </w:rPr>
        <w:t>el bloque de constitucionalidad, la cual</w:t>
      </w:r>
      <w:r w:rsidR="00955AB5" w:rsidRPr="00CD542C">
        <w:rPr>
          <w:rFonts w:ascii="Times New Roman" w:hAnsi="Times New Roman"/>
          <w:sz w:val="28"/>
          <w:szCs w:val="28"/>
          <w:lang w:eastAsia="es-ES"/>
        </w:rPr>
        <w:t xml:space="preserve"> refleja los compromisos que tiene Colombia para combatir y evitar la violencia en contra de la mujer. </w:t>
      </w:r>
    </w:p>
    <w:p w:rsidR="00955AB5" w:rsidRPr="00CD542C" w:rsidRDefault="00955AB5" w:rsidP="00CD542C">
      <w:pPr>
        <w:spacing w:after="0" w:line="240" w:lineRule="auto"/>
        <w:jc w:val="both"/>
        <w:rPr>
          <w:rFonts w:ascii="Times New Roman" w:hAnsi="Times New Roman"/>
          <w:sz w:val="28"/>
          <w:szCs w:val="28"/>
          <w:lang w:eastAsia="es-ES"/>
        </w:rPr>
      </w:pPr>
    </w:p>
    <w:p w:rsidR="00955AB5" w:rsidRPr="00CD542C" w:rsidRDefault="004744F9"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 xml:space="preserve">En segundo lugar, </w:t>
      </w:r>
      <w:r w:rsidR="00955AB5" w:rsidRPr="00CD542C">
        <w:rPr>
          <w:rFonts w:ascii="Times New Roman" w:hAnsi="Times New Roman"/>
          <w:sz w:val="28"/>
          <w:szCs w:val="28"/>
          <w:lang w:eastAsia="es-ES"/>
        </w:rPr>
        <w:t>relata el conte</w:t>
      </w:r>
      <w:r w:rsidR="00981298" w:rsidRPr="00CD542C">
        <w:rPr>
          <w:rFonts w:ascii="Times New Roman" w:hAnsi="Times New Roman"/>
          <w:sz w:val="28"/>
          <w:szCs w:val="28"/>
          <w:lang w:eastAsia="es-ES"/>
        </w:rPr>
        <w:t xml:space="preserve">xto del feminicidio en Colombia, y al respecto sostiene que </w:t>
      </w:r>
      <w:r w:rsidR="00981298" w:rsidRPr="00CD542C">
        <w:rPr>
          <w:rFonts w:ascii="Times New Roman" w:hAnsi="Times New Roman"/>
          <w:i/>
          <w:sz w:val="28"/>
          <w:szCs w:val="28"/>
          <w:lang w:eastAsia="es-ES"/>
        </w:rPr>
        <w:t>“[l]a violencia física y psicológica contra las mujeres al interior de la familia y propinada por la pareja o expareja en Colombia que de ser repetida puede terminar en feminicidios, cuenta con cifras ala</w:t>
      </w:r>
      <w:r w:rsidR="006660AA" w:rsidRPr="00CD542C">
        <w:rPr>
          <w:rFonts w:ascii="Times New Roman" w:hAnsi="Times New Roman"/>
          <w:i/>
          <w:sz w:val="28"/>
          <w:szCs w:val="28"/>
          <w:lang w:eastAsia="es-ES"/>
        </w:rPr>
        <w:t>rmantes. El Instituto de Medici</w:t>
      </w:r>
      <w:r w:rsidR="00981298" w:rsidRPr="00CD542C">
        <w:rPr>
          <w:rFonts w:ascii="Times New Roman" w:hAnsi="Times New Roman"/>
          <w:i/>
          <w:sz w:val="28"/>
          <w:szCs w:val="28"/>
          <w:lang w:eastAsia="es-ES"/>
        </w:rPr>
        <w:t xml:space="preserve">na Legal y CF informa que en 2014 a nivel nacional, se reportaron 75.939 casos de violencia intrafamiliar de los cuales el 64% (48.889) corresponden </w:t>
      </w:r>
      <w:r w:rsidR="006660AA" w:rsidRPr="00CD542C">
        <w:rPr>
          <w:rFonts w:ascii="Times New Roman" w:hAnsi="Times New Roman"/>
          <w:i/>
          <w:sz w:val="28"/>
          <w:szCs w:val="28"/>
          <w:lang w:eastAsia="es-ES"/>
        </w:rPr>
        <w:t>a violencia de pareja. Además, en el 81% (41.802) de los casos de violencia de pareja las víctimas son mujeres, lo que significa que por cada hombre que reportó ser agredido por su pareja, seis mujeres lo hicieron</w:t>
      </w:r>
      <w:r w:rsidR="006660AA" w:rsidRPr="00CD542C">
        <w:rPr>
          <w:rFonts w:ascii="Times New Roman" w:hAnsi="Times New Roman"/>
          <w:sz w:val="28"/>
          <w:szCs w:val="28"/>
          <w:lang w:eastAsia="es-ES"/>
        </w:rPr>
        <w:t>”</w:t>
      </w:r>
      <w:r w:rsidR="006660AA" w:rsidRPr="00CD542C">
        <w:rPr>
          <w:rStyle w:val="Refdenotaalpie"/>
          <w:rFonts w:ascii="Times New Roman" w:hAnsi="Times New Roman"/>
          <w:sz w:val="28"/>
          <w:szCs w:val="28"/>
          <w:lang w:eastAsia="es-ES"/>
        </w:rPr>
        <w:footnoteReference w:id="10"/>
      </w:r>
      <w:r w:rsidR="006660AA" w:rsidRPr="00CD542C">
        <w:rPr>
          <w:rFonts w:ascii="Times New Roman" w:hAnsi="Times New Roman"/>
          <w:sz w:val="28"/>
          <w:szCs w:val="28"/>
          <w:lang w:eastAsia="es-ES"/>
        </w:rPr>
        <w:t xml:space="preserve">. </w:t>
      </w:r>
    </w:p>
    <w:p w:rsidR="006660AA" w:rsidRPr="00CD542C" w:rsidRDefault="006660AA" w:rsidP="00CD542C">
      <w:pPr>
        <w:spacing w:after="0" w:line="240" w:lineRule="auto"/>
        <w:jc w:val="both"/>
        <w:rPr>
          <w:rFonts w:ascii="Times New Roman" w:hAnsi="Times New Roman"/>
          <w:sz w:val="28"/>
          <w:szCs w:val="28"/>
          <w:lang w:eastAsia="es-ES"/>
        </w:rPr>
      </w:pPr>
    </w:p>
    <w:p w:rsidR="006660AA" w:rsidRPr="00CD542C" w:rsidRDefault="005E2B42"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De otra parte</w:t>
      </w:r>
      <w:r w:rsidR="006660AA" w:rsidRPr="00CD542C">
        <w:rPr>
          <w:rFonts w:ascii="Times New Roman" w:hAnsi="Times New Roman"/>
          <w:sz w:val="28"/>
          <w:szCs w:val="28"/>
          <w:lang w:eastAsia="es-ES"/>
        </w:rPr>
        <w:t>, señala que los asesina</w:t>
      </w:r>
      <w:r w:rsidRPr="00CD542C">
        <w:rPr>
          <w:rFonts w:ascii="Times New Roman" w:hAnsi="Times New Roman"/>
          <w:sz w:val="28"/>
          <w:szCs w:val="28"/>
          <w:lang w:eastAsia="es-ES"/>
        </w:rPr>
        <w:t>tos en contra de las mujeres son</w:t>
      </w:r>
      <w:r w:rsidR="006660AA" w:rsidRPr="00CD542C">
        <w:rPr>
          <w:rFonts w:ascii="Times New Roman" w:hAnsi="Times New Roman"/>
          <w:sz w:val="28"/>
          <w:szCs w:val="28"/>
          <w:lang w:eastAsia="es-ES"/>
        </w:rPr>
        <w:t xml:space="preserve"> un reflejo de la discriminación y la violencia en contra de ellas</w:t>
      </w:r>
      <w:r w:rsidR="0042600E" w:rsidRPr="00CD542C">
        <w:rPr>
          <w:rFonts w:ascii="Times New Roman" w:hAnsi="Times New Roman"/>
          <w:sz w:val="28"/>
          <w:szCs w:val="28"/>
          <w:lang w:eastAsia="es-ES"/>
        </w:rPr>
        <w:t>, de manera que aquellos tratos pe</w:t>
      </w:r>
      <w:r w:rsidR="003143D5" w:rsidRPr="00CD542C">
        <w:rPr>
          <w:rFonts w:ascii="Times New Roman" w:hAnsi="Times New Roman"/>
          <w:sz w:val="28"/>
          <w:szCs w:val="28"/>
          <w:lang w:eastAsia="es-ES"/>
        </w:rPr>
        <w:t>r</w:t>
      </w:r>
      <w:r w:rsidR="0042600E" w:rsidRPr="00CD542C">
        <w:rPr>
          <w:rFonts w:ascii="Times New Roman" w:hAnsi="Times New Roman"/>
          <w:sz w:val="28"/>
          <w:szCs w:val="28"/>
          <w:lang w:eastAsia="es-ES"/>
        </w:rPr>
        <w:t xml:space="preserve">petrados por la pareja o expareja en el ámbito privado o </w:t>
      </w:r>
      <w:r w:rsidR="004B3540" w:rsidRPr="00CD542C">
        <w:rPr>
          <w:rFonts w:ascii="Times New Roman" w:hAnsi="Times New Roman"/>
          <w:sz w:val="28"/>
          <w:szCs w:val="28"/>
          <w:lang w:eastAsia="es-ES"/>
        </w:rPr>
        <w:t>doméstico</w:t>
      </w:r>
      <w:r w:rsidR="003143D5" w:rsidRPr="00CD542C">
        <w:rPr>
          <w:rFonts w:ascii="Times New Roman" w:hAnsi="Times New Roman"/>
          <w:sz w:val="28"/>
          <w:szCs w:val="28"/>
          <w:lang w:eastAsia="es-ES"/>
        </w:rPr>
        <w:t>,</w:t>
      </w:r>
      <w:r w:rsidR="0042600E" w:rsidRPr="00CD542C">
        <w:rPr>
          <w:rFonts w:ascii="Times New Roman" w:hAnsi="Times New Roman"/>
          <w:sz w:val="28"/>
          <w:szCs w:val="28"/>
          <w:lang w:eastAsia="es-ES"/>
        </w:rPr>
        <w:t xml:space="preserve"> son el reflejo del ejercicio de poder de dominación que históricamente han </w:t>
      </w:r>
      <w:r w:rsidR="00400820" w:rsidRPr="00CD542C">
        <w:rPr>
          <w:rFonts w:ascii="Times New Roman" w:hAnsi="Times New Roman"/>
          <w:sz w:val="28"/>
          <w:szCs w:val="28"/>
          <w:lang w:eastAsia="es-ES"/>
        </w:rPr>
        <w:t>desplegado</w:t>
      </w:r>
      <w:r w:rsidR="0042600E" w:rsidRPr="00CD542C">
        <w:rPr>
          <w:rFonts w:ascii="Times New Roman" w:hAnsi="Times New Roman"/>
          <w:sz w:val="28"/>
          <w:szCs w:val="28"/>
          <w:lang w:eastAsia="es-ES"/>
        </w:rPr>
        <w:t xml:space="preserve"> los hombres sobre la vida, la libertad, el cuerpo y la autonomía de las mujeres. </w:t>
      </w:r>
    </w:p>
    <w:p w:rsidR="0042600E" w:rsidRPr="00CD542C" w:rsidRDefault="0042600E" w:rsidP="00CD542C">
      <w:pPr>
        <w:spacing w:after="0" w:line="240" w:lineRule="auto"/>
        <w:jc w:val="both"/>
        <w:rPr>
          <w:rFonts w:ascii="Times New Roman" w:hAnsi="Times New Roman"/>
          <w:sz w:val="28"/>
          <w:szCs w:val="28"/>
          <w:lang w:eastAsia="es-ES"/>
        </w:rPr>
      </w:pPr>
    </w:p>
    <w:p w:rsidR="00F526CC" w:rsidRPr="00CD542C" w:rsidRDefault="005E2B42"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A su vez</w:t>
      </w:r>
      <w:r w:rsidR="0042600E" w:rsidRPr="00CD542C">
        <w:rPr>
          <w:rFonts w:ascii="Times New Roman" w:hAnsi="Times New Roman"/>
          <w:sz w:val="28"/>
          <w:szCs w:val="28"/>
          <w:lang w:eastAsia="es-ES"/>
        </w:rPr>
        <w:t xml:space="preserve">, indica que </w:t>
      </w:r>
      <w:r w:rsidR="00E245BC" w:rsidRPr="00CD542C">
        <w:rPr>
          <w:rFonts w:ascii="Times New Roman" w:hAnsi="Times New Roman"/>
          <w:sz w:val="28"/>
          <w:szCs w:val="28"/>
          <w:lang w:eastAsia="es-ES"/>
        </w:rPr>
        <w:t>la Secretaría</w:t>
      </w:r>
      <w:r w:rsidR="00DD2C03" w:rsidRPr="00CD542C">
        <w:rPr>
          <w:rFonts w:ascii="Times New Roman" w:hAnsi="Times New Roman"/>
          <w:sz w:val="28"/>
          <w:szCs w:val="28"/>
          <w:lang w:eastAsia="es-ES"/>
        </w:rPr>
        <w:t>,</w:t>
      </w:r>
      <w:r w:rsidR="00E245BC" w:rsidRPr="00CD542C">
        <w:rPr>
          <w:rFonts w:ascii="Times New Roman" w:hAnsi="Times New Roman"/>
          <w:sz w:val="28"/>
          <w:szCs w:val="28"/>
          <w:lang w:eastAsia="es-ES"/>
        </w:rPr>
        <w:t xml:space="preserve"> como única institución a nivel nacional que adelanta la representación de mujeres en estos casos, ha podido constatar que </w:t>
      </w:r>
      <w:r w:rsidR="007E01CC" w:rsidRPr="00CD542C">
        <w:rPr>
          <w:rFonts w:ascii="Times New Roman" w:hAnsi="Times New Roman"/>
          <w:sz w:val="28"/>
          <w:szCs w:val="28"/>
          <w:lang w:eastAsia="es-ES"/>
        </w:rPr>
        <w:t xml:space="preserve">un elemento determinante en la investigación penal </w:t>
      </w:r>
      <w:r w:rsidRPr="00CD542C">
        <w:rPr>
          <w:rFonts w:ascii="Times New Roman" w:hAnsi="Times New Roman"/>
          <w:sz w:val="28"/>
          <w:szCs w:val="28"/>
          <w:lang w:eastAsia="es-ES"/>
        </w:rPr>
        <w:t xml:space="preserve">son </w:t>
      </w:r>
      <w:r w:rsidR="00F526CC" w:rsidRPr="00CD542C">
        <w:rPr>
          <w:rFonts w:ascii="Times New Roman" w:hAnsi="Times New Roman"/>
          <w:sz w:val="28"/>
          <w:szCs w:val="28"/>
          <w:lang w:eastAsia="es-ES"/>
        </w:rPr>
        <w:t>los antecedentes de violencia o amenaza en el ámbito doméstico, familiar, laboral o escolar por parte del sujeto activo en contra de la víctima.</w:t>
      </w:r>
      <w:r w:rsidRPr="00CD542C">
        <w:rPr>
          <w:rFonts w:ascii="Times New Roman" w:hAnsi="Times New Roman"/>
          <w:sz w:val="28"/>
          <w:szCs w:val="28"/>
          <w:lang w:eastAsia="es-ES"/>
        </w:rPr>
        <w:t xml:space="preserve"> En su concepto, </w:t>
      </w:r>
      <w:r w:rsidR="00984C30" w:rsidRPr="00CD542C">
        <w:rPr>
          <w:rFonts w:ascii="Times New Roman" w:hAnsi="Times New Roman"/>
          <w:sz w:val="28"/>
          <w:szCs w:val="28"/>
          <w:lang w:eastAsia="es-ES"/>
        </w:rPr>
        <w:t>los antecedentes</w:t>
      </w:r>
      <w:r w:rsidRPr="00CD542C">
        <w:rPr>
          <w:rFonts w:ascii="Times New Roman" w:hAnsi="Times New Roman"/>
          <w:sz w:val="28"/>
          <w:szCs w:val="28"/>
          <w:lang w:eastAsia="es-ES"/>
        </w:rPr>
        <w:t>, de cualquier clase,</w:t>
      </w:r>
      <w:r w:rsidR="00984C30" w:rsidRPr="00CD542C">
        <w:rPr>
          <w:rFonts w:ascii="Times New Roman" w:hAnsi="Times New Roman"/>
          <w:sz w:val="28"/>
          <w:szCs w:val="28"/>
          <w:lang w:eastAsia="es-ES"/>
        </w:rPr>
        <w:t xml:space="preserve"> </w:t>
      </w:r>
      <w:r w:rsidR="003143D5" w:rsidRPr="00CD542C">
        <w:rPr>
          <w:rFonts w:ascii="Times New Roman" w:hAnsi="Times New Roman"/>
          <w:sz w:val="28"/>
          <w:szCs w:val="28"/>
          <w:lang w:eastAsia="es-ES"/>
        </w:rPr>
        <w:t>que</w:t>
      </w:r>
      <w:r w:rsidRPr="00CD542C">
        <w:rPr>
          <w:rFonts w:ascii="Times New Roman" w:hAnsi="Times New Roman"/>
          <w:sz w:val="28"/>
          <w:szCs w:val="28"/>
          <w:lang w:eastAsia="es-ES"/>
        </w:rPr>
        <w:t xml:space="preserve"> refiere la norma demandada</w:t>
      </w:r>
      <w:r w:rsidR="00F723BF" w:rsidRPr="00CD542C">
        <w:rPr>
          <w:rFonts w:ascii="Times New Roman" w:hAnsi="Times New Roman"/>
          <w:sz w:val="28"/>
          <w:szCs w:val="28"/>
          <w:lang w:eastAsia="es-ES"/>
        </w:rPr>
        <w:t xml:space="preserve"> son los que le permiten a la Fiscalía imputar al sujeto activo del delito</w:t>
      </w:r>
      <w:r w:rsidR="00400820" w:rsidRPr="00CD542C">
        <w:rPr>
          <w:rFonts w:ascii="Times New Roman" w:hAnsi="Times New Roman"/>
          <w:sz w:val="28"/>
          <w:szCs w:val="28"/>
          <w:lang w:eastAsia="es-ES"/>
        </w:rPr>
        <w:t>, cargos por feminicidio</w:t>
      </w:r>
      <w:r w:rsidR="00F723BF" w:rsidRPr="00CD542C">
        <w:rPr>
          <w:rFonts w:ascii="Times New Roman" w:hAnsi="Times New Roman"/>
          <w:sz w:val="28"/>
          <w:szCs w:val="28"/>
          <w:lang w:eastAsia="es-ES"/>
        </w:rPr>
        <w:t xml:space="preserve">. </w:t>
      </w:r>
    </w:p>
    <w:p w:rsidR="00F723BF" w:rsidRPr="00CD542C" w:rsidRDefault="00F723BF" w:rsidP="00CD542C">
      <w:pPr>
        <w:spacing w:after="0" w:line="240" w:lineRule="auto"/>
        <w:jc w:val="both"/>
        <w:rPr>
          <w:rFonts w:ascii="Times New Roman" w:hAnsi="Times New Roman"/>
          <w:sz w:val="28"/>
          <w:szCs w:val="28"/>
          <w:lang w:eastAsia="es-ES"/>
        </w:rPr>
      </w:pPr>
    </w:p>
    <w:p w:rsidR="007E01DC" w:rsidRPr="00CD542C" w:rsidRDefault="004744F9"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Así</w:t>
      </w:r>
      <w:r w:rsidR="00400820" w:rsidRPr="00CD542C">
        <w:rPr>
          <w:rFonts w:ascii="Times New Roman" w:hAnsi="Times New Roman"/>
          <w:sz w:val="28"/>
          <w:szCs w:val="28"/>
          <w:lang w:eastAsia="es-ES"/>
        </w:rPr>
        <w:t>, insiste en</w:t>
      </w:r>
      <w:r w:rsidR="00F723BF" w:rsidRPr="00CD542C">
        <w:rPr>
          <w:rFonts w:ascii="Times New Roman" w:hAnsi="Times New Roman"/>
          <w:sz w:val="28"/>
          <w:szCs w:val="28"/>
          <w:lang w:eastAsia="es-ES"/>
        </w:rPr>
        <w:t xml:space="preserve"> que dichos antecedentes </w:t>
      </w:r>
      <w:r w:rsidR="008D3440" w:rsidRPr="00CD542C">
        <w:rPr>
          <w:rFonts w:ascii="Times New Roman" w:hAnsi="Times New Roman"/>
          <w:sz w:val="28"/>
          <w:szCs w:val="28"/>
          <w:lang w:eastAsia="es-ES"/>
        </w:rPr>
        <w:t>“</w:t>
      </w:r>
      <w:r w:rsidR="00F723BF" w:rsidRPr="00CD542C">
        <w:rPr>
          <w:rFonts w:ascii="Times New Roman" w:hAnsi="Times New Roman"/>
          <w:i/>
          <w:sz w:val="28"/>
          <w:szCs w:val="28"/>
          <w:lang w:eastAsia="es-ES"/>
        </w:rPr>
        <w:t xml:space="preserve">deben valorarse al momento de imputar, acusar y sancionar </w:t>
      </w:r>
      <w:r w:rsidR="008D3440" w:rsidRPr="00CD542C">
        <w:rPr>
          <w:rFonts w:ascii="Times New Roman" w:hAnsi="Times New Roman"/>
          <w:i/>
          <w:sz w:val="28"/>
          <w:szCs w:val="28"/>
          <w:lang w:eastAsia="es-ES"/>
        </w:rPr>
        <w:t>como</w:t>
      </w:r>
      <w:r w:rsidR="00F723BF" w:rsidRPr="00CD542C">
        <w:rPr>
          <w:rFonts w:ascii="Times New Roman" w:hAnsi="Times New Roman"/>
          <w:i/>
          <w:sz w:val="28"/>
          <w:szCs w:val="28"/>
          <w:lang w:eastAsia="es-ES"/>
        </w:rPr>
        <w:t xml:space="preserve"> </w:t>
      </w:r>
      <w:r w:rsidR="008D3440" w:rsidRPr="00CD542C">
        <w:rPr>
          <w:rFonts w:ascii="Times New Roman" w:hAnsi="Times New Roman"/>
          <w:i/>
          <w:sz w:val="28"/>
          <w:szCs w:val="28"/>
          <w:lang w:eastAsia="es-ES"/>
        </w:rPr>
        <w:t>F</w:t>
      </w:r>
      <w:r w:rsidR="00F723BF" w:rsidRPr="00CD542C">
        <w:rPr>
          <w:rFonts w:ascii="Times New Roman" w:hAnsi="Times New Roman"/>
          <w:i/>
          <w:sz w:val="28"/>
          <w:szCs w:val="28"/>
          <w:lang w:eastAsia="es-ES"/>
        </w:rPr>
        <w:t>eminicidio</w:t>
      </w:r>
      <w:r w:rsidR="008D3440" w:rsidRPr="00CD542C">
        <w:rPr>
          <w:rFonts w:ascii="Times New Roman" w:hAnsi="Times New Roman"/>
          <w:i/>
          <w:sz w:val="28"/>
          <w:szCs w:val="28"/>
          <w:lang w:eastAsia="es-ES"/>
        </w:rPr>
        <w:t xml:space="preserve"> una conducta perpetrada en tales circunstancias, </w:t>
      </w:r>
      <w:r w:rsidR="008D3440" w:rsidRPr="00CD542C">
        <w:rPr>
          <w:rFonts w:ascii="Times New Roman" w:hAnsi="Times New Roman"/>
          <w:b/>
          <w:i/>
          <w:sz w:val="28"/>
          <w:szCs w:val="28"/>
          <w:lang w:eastAsia="es-ES"/>
        </w:rPr>
        <w:t>independientemente de que el hecho haya sido denunciado o no</w:t>
      </w:r>
      <w:r w:rsidR="008D3440" w:rsidRPr="00CD542C">
        <w:rPr>
          <w:rFonts w:ascii="Times New Roman" w:hAnsi="Times New Roman"/>
          <w:b/>
          <w:sz w:val="28"/>
          <w:szCs w:val="28"/>
          <w:lang w:eastAsia="es-ES"/>
        </w:rPr>
        <w:t xml:space="preserve">” </w:t>
      </w:r>
      <w:r w:rsidR="007E01DC" w:rsidRPr="00CD542C">
        <w:rPr>
          <w:rStyle w:val="Refdenotaalpie"/>
          <w:rFonts w:ascii="Times New Roman" w:hAnsi="Times New Roman"/>
          <w:b/>
          <w:sz w:val="28"/>
          <w:szCs w:val="28"/>
          <w:lang w:eastAsia="es-ES"/>
        </w:rPr>
        <w:footnoteReference w:id="11"/>
      </w:r>
      <w:r w:rsidR="008D3440" w:rsidRPr="00CD542C">
        <w:rPr>
          <w:rFonts w:ascii="Times New Roman" w:hAnsi="Times New Roman"/>
          <w:sz w:val="28"/>
          <w:szCs w:val="28"/>
          <w:lang w:eastAsia="es-ES"/>
        </w:rPr>
        <w:t xml:space="preserve">(negrilla en el texto original). </w:t>
      </w:r>
      <w:r w:rsidR="005E2B42" w:rsidRPr="00CD542C">
        <w:rPr>
          <w:rFonts w:ascii="Times New Roman" w:hAnsi="Times New Roman"/>
          <w:sz w:val="28"/>
          <w:szCs w:val="28"/>
          <w:lang w:eastAsia="es-ES"/>
        </w:rPr>
        <w:t xml:space="preserve"> </w:t>
      </w:r>
      <w:r w:rsidR="007E01DC" w:rsidRPr="00CD542C">
        <w:rPr>
          <w:rFonts w:ascii="Times New Roman" w:hAnsi="Times New Roman"/>
          <w:sz w:val="28"/>
          <w:szCs w:val="28"/>
          <w:lang w:eastAsia="es-ES"/>
        </w:rPr>
        <w:t>Finalmente, sostiene que los indicios y la prueba indiciaria, son elementos que la jurisprudencia ha aceptado en contextos de violencia sexual en contra de mujeres y menor</w:t>
      </w:r>
      <w:r w:rsidR="00400820" w:rsidRPr="00CD542C">
        <w:rPr>
          <w:rFonts w:ascii="Times New Roman" w:hAnsi="Times New Roman"/>
          <w:sz w:val="28"/>
          <w:szCs w:val="28"/>
          <w:lang w:eastAsia="es-ES"/>
        </w:rPr>
        <w:t>es de edad, como material vá</w:t>
      </w:r>
      <w:r w:rsidR="007E01DC" w:rsidRPr="00CD542C">
        <w:rPr>
          <w:rFonts w:ascii="Times New Roman" w:hAnsi="Times New Roman"/>
          <w:sz w:val="28"/>
          <w:szCs w:val="28"/>
          <w:lang w:eastAsia="es-ES"/>
        </w:rPr>
        <w:t xml:space="preserve">lido para emitir sentencias condenatorias. </w:t>
      </w:r>
    </w:p>
    <w:p w:rsidR="00984C30" w:rsidRPr="00CD542C" w:rsidRDefault="00984C30" w:rsidP="00CD542C">
      <w:pPr>
        <w:spacing w:after="0" w:line="240" w:lineRule="auto"/>
        <w:jc w:val="both"/>
        <w:rPr>
          <w:rFonts w:ascii="Times New Roman" w:hAnsi="Times New Roman"/>
          <w:sz w:val="28"/>
          <w:szCs w:val="28"/>
          <w:lang w:eastAsia="es-ES"/>
        </w:rPr>
      </w:pPr>
    </w:p>
    <w:p w:rsidR="00E472B9" w:rsidRPr="00CD542C" w:rsidRDefault="00A50AD1" w:rsidP="00CD542C">
      <w:pPr>
        <w:pStyle w:val="Prrafodelista"/>
        <w:numPr>
          <w:ilvl w:val="0"/>
          <w:numId w:val="1"/>
        </w:numPr>
        <w:jc w:val="both"/>
        <w:rPr>
          <w:b/>
          <w:sz w:val="28"/>
          <w:szCs w:val="28"/>
        </w:rPr>
      </w:pPr>
      <w:r w:rsidRPr="00CD542C">
        <w:rPr>
          <w:b/>
          <w:sz w:val="28"/>
          <w:szCs w:val="28"/>
        </w:rPr>
        <w:t xml:space="preserve"> INTERVENCIONES EXTEMPORÁNEAS</w:t>
      </w:r>
    </w:p>
    <w:p w:rsidR="00A50AD1" w:rsidRPr="00CD542C" w:rsidRDefault="00A50AD1" w:rsidP="00CD542C">
      <w:pPr>
        <w:spacing w:after="0" w:line="240" w:lineRule="auto"/>
        <w:jc w:val="both"/>
        <w:rPr>
          <w:rFonts w:ascii="Times New Roman" w:hAnsi="Times New Roman"/>
          <w:b/>
          <w:sz w:val="28"/>
          <w:szCs w:val="28"/>
          <w:lang w:eastAsia="es-ES"/>
        </w:rPr>
      </w:pPr>
    </w:p>
    <w:p w:rsidR="00A50AD1" w:rsidRPr="00CD542C" w:rsidRDefault="00A50AD1"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Una vez vencido el término de fijación en lista se recibieron intervenciones del Centro de Investigación en Justicia y Estudios Críticos del D</w:t>
      </w:r>
      <w:r w:rsidR="00B27BA6" w:rsidRPr="00CD542C">
        <w:rPr>
          <w:rFonts w:ascii="Times New Roman" w:hAnsi="Times New Roman"/>
          <w:sz w:val="28"/>
          <w:szCs w:val="28"/>
          <w:lang w:eastAsia="es-ES"/>
        </w:rPr>
        <w:t xml:space="preserve">erecho </w:t>
      </w:r>
      <w:r w:rsidR="00B27BA6" w:rsidRPr="00CD542C">
        <w:rPr>
          <w:rFonts w:ascii="Times New Roman" w:hAnsi="Times New Roman"/>
          <w:sz w:val="28"/>
          <w:szCs w:val="28"/>
          <w:lang w:eastAsia="es-ES"/>
        </w:rPr>
        <w:lastRenderedPageBreak/>
        <w:t>(Cijusticia) que justifica</w:t>
      </w:r>
      <w:r w:rsidRPr="00CD542C">
        <w:rPr>
          <w:rFonts w:ascii="Times New Roman" w:hAnsi="Times New Roman"/>
          <w:sz w:val="28"/>
          <w:szCs w:val="28"/>
          <w:lang w:eastAsia="es-ES"/>
        </w:rPr>
        <w:t xml:space="preserve"> la </w:t>
      </w:r>
      <w:r w:rsidRPr="00CD542C">
        <w:rPr>
          <w:rFonts w:ascii="Times New Roman" w:hAnsi="Times New Roman"/>
          <w:b/>
          <w:bCs/>
          <w:sz w:val="28"/>
          <w:szCs w:val="28"/>
          <w:lang w:eastAsia="es-ES"/>
        </w:rPr>
        <w:t>CONSTITUCIONALIDAD</w:t>
      </w:r>
      <w:r w:rsidRPr="00CD542C">
        <w:rPr>
          <w:rFonts w:ascii="Times New Roman" w:hAnsi="Times New Roman"/>
          <w:sz w:val="28"/>
          <w:szCs w:val="28"/>
          <w:lang w:eastAsia="es-ES"/>
        </w:rPr>
        <w:t xml:space="preserve"> del aparte acusado y de la Universidad Externado de Colombia que solicita la </w:t>
      </w:r>
      <w:r w:rsidR="00B27BA6" w:rsidRPr="00CD542C">
        <w:rPr>
          <w:rFonts w:ascii="Times New Roman" w:hAnsi="Times New Roman"/>
          <w:sz w:val="28"/>
          <w:szCs w:val="28"/>
          <w:lang w:eastAsia="es-ES"/>
        </w:rPr>
        <w:t xml:space="preserve">declaratoria de </w:t>
      </w:r>
      <w:r w:rsidRPr="00CD542C">
        <w:rPr>
          <w:rFonts w:ascii="Times New Roman" w:hAnsi="Times New Roman"/>
          <w:b/>
          <w:bCs/>
          <w:sz w:val="28"/>
          <w:szCs w:val="28"/>
          <w:lang w:eastAsia="es-ES"/>
        </w:rPr>
        <w:t xml:space="preserve">INCONSTITUCIONALIDAD </w:t>
      </w:r>
      <w:r w:rsidRPr="00CD542C">
        <w:rPr>
          <w:rFonts w:ascii="Times New Roman" w:hAnsi="Times New Roman"/>
          <w:sz w:val="28"/>
          <w:szCs w:val="28"/>
          <w:lang w:eastAsia="es-ES"/>
        </w:rPr>
        <w:t>del mismo.</w:t>
      </w:r>
    </w:p>
    <w:p w:rsidR="003C13BB" w:rsidRPr="00CD542C" w:rsidRDefault="003C13BB" w:rsidP="00CD542C">
      <w:pPr>
        <w:spacing w:after="0" w:line="240" w:lineRule="auto"/>
        <w:jc w:val="both"/>
        <w:rPr>
          <w:rFonts w:ascii="Times New Roman" w:hAnsi="Times New Roman"/>
          <w:b/>
          <w:sz w:val="28"/>
          <w:szCs w:val="28"/>
          <w:lang w:eastAsia="es-ES"/>
        </w:rPr>
      </w:pPr>
    </w:p>
    <w:p w:rsidR="00184063" w:rsidRPr="00CD542C" w:rsidRDefault="00AA3700" w:rsidP="00CD542C">
      <w:pPr>
        <w:pStyle w:val="Prrafodelista"/>
        <w:numPr>
          <w:ilvl w:val="0"/>
          <w:numId w:val="1"/>
        </w:numPr>
        <w:jc w:val="both"/>
        <w:rPr>
          <w:b/>
          <w:sz w:val="28"/>
          <w:szCs w:val="28"/>
        </w:rPr>
      </w:pPr>
      <w:r w:rsidRPr="00CD542C">
        <w:rPr>
          <w:b/>
          <w:sz w:val="28"/>
          <w:szCs w:val="28"/>
        </w:rPr>
        <w:t xml:space="preserve"> </w:t>
      </w:r>
      <w:r w:rsidR="00184063" w:rsidRPr="00CD542C">
        <w:rPr>
          <w:b/>
          <w:sz w:val="28"/>
          <w:szCs w:val="28"/>
        </w:rPr>
        <w:t>CONCEPTO DEL PROCURADOR GENERAL DE LA NACIÓN</w:t>
      </w:r>
    </w:p>
    <w:p w:rsidR="00184063" w:rsidRPr="00CD542C" w:rsidRDefault="00184063" w:rsidP="00CD542C">
      <w:pPr>
        <w:spacing w:after="0" w:line="240" w:lineRule="auto"/>
        <w:jc w:val="both"/>
        <w:rPr>
          <w:rFonts w:ascii="Times New Roman" w:hAnsi="Times New Roman"/>
          <w:sz w:val="28"/>
          <w:szCs w:val="28"/>
          <w:lang w:eastAsia="es-ES"/>
        </w:rPr>
      </w:pPr>
    </w:p>
    <w:p w:rsidR="00184063" w:rsidRPr="00CD542C" w:rsidRDefault="00184063"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 xml:space="preserve">La Procuraduría General de la Nación solicita a la Corte Constitucional que declare </w:t>
      </w:r>
      <w:r w:rsidR="003C13BB" w:rsidRPr="00CD542C">
        <w:rPr>
          <w:rFonts w:ascii="Times New Roman" w:hAnsi="Times New Roman"/>
          <w:b/>
          <w:sz w:val="28"/>
          <w:szCs w:val="28"/>
          <w:lang w:eastAsia="es-ES"/>
        </w:rPr>
        <w:t>EXEQUIBLE</w:t>
      </w:r>
      <w:r w:rsidR="003C7E5F" w:rsidRPr="00CD542C">
        <w:rPr>
          <w:rFonts w:ascii="Times New Roman" w:hAnsi="Times New Roman"/>
          <w:b/>
          <w:sz w:val="28"/>
          <w:szCs w:val="28"/>
          <w:lang w:eastAsia="es-ES"/>
        </w:rPr>
        <w:t xml:space="preserve"> </w:t>
      </w:r>
      <w:r w:rsidR="003C7E5F" w:rsidRPr="00CD542C">
        <w:rPr>
          <w:rFonts w:ascii="Times New Roman" w:hAnsi="Times New Roman"/>
          <w:sz w:val="28"/>
          <w:szCs w:val="28"/>
          <w:lang w:eastAsia="es-ES"/>
        </w:rPr>
        <w:t>el aparte normativo demandado, “</w:t>
      </w:r>
      <w:r w:rsidR="003C7E5F" w:rsidRPr="00CD542C">
        <w:rPr>
          <w:rFonts w:ascii="Times New Roman" w:hAnsi="Times New Roman"/>
          <w:i/>
          <w:sz w:val="28"/>
          <w:szCs w:val="28"/>
          <w:lang w:eastAsia="es-ES"/>
        </w:rPr>
        <w:t xml:space="preserve">en el entendido de que no se trata de un verbo rector alternativo sino de una descripción de un contexto o de antecedentes que pueden tener lugar antes de que se cometa el crimen de feminicidio </w:t>
      </w:r>
      <w:r w:rsidR="0003775C" w:rsidRPr="00CD542C">
        <w:rPr>
          <w:rFonts w:ascii="Times New Roman" w:hAnsi="Times New Roman"/>
          <w:i/>
          <w:sz w:val="28"/>
          <w:szCs w:val="28"/>
          <w:lang w:eastAsia="es-ES"/>
        </w:rPr>
        <w:t>y que permiten pro</w:t>
      </w:r>
      <w:r w:rsidR="003C13BB" w:rsidRPr="00CD542C">
        <w:rPr>
          <w:rFonts w:ascii="Times New Roman" w:hAnsi="Times New Roman"/>
          <w:i/>
          <w:sz w:val="28"/>
          <w:szCs w:val="28"/>
          <w:lang w:eastAsia="es-ES"/>
        </w:rPr>
        <w:t>b</w:t>
      </w:r>
      <w:r w:rsidR="0003775C" w:rsidRPr="00CD542C">
        <w:rPr>
          <w:rFonts w:ascii="Times New Roman" w:hAnsi="Times New Roman"/>
          <w:i/>
          <w:sz w:val="28"/>
          <w:szCs w:val="28"/>
          <w:lang w:eastAsia="es-ES"/>
        </w:rPr>
        <w:t>ar el móvil del crimen. Así mismo que el delito de feminicidio únicamente tiene lugar cuando se trata de un homicidio de una mujer y cuando este es cometido por el hecho mismo de ser mujer”</w:t>
      </w:r>
      <w:r w:rsidR="0003775C" w:rsidRPr="00CD542C">
        <w:rPr>
          <w:rStyle w:val="Refdenotaalpie"/>
          <w:rFonts w:ascii="Times New Roman" w:hAnsi="Times New Roman"/>
          <w:i/>
          <w:sz w:val="28"/>
          <w:szCs w:val="28"/>
          <w:lang w:eastAsia="es-ES"/>
        </w:rPr>
        <w:footnoteReference w:id="12"/>
      </w:r>
      <w:r w:rsidR="0003775C" w:rsidRPr="00CD542C">
        <w:rPr>
          <w:rFonts w:ascii="Times New Roman" w:hAnsi="Times New Roman"/>
          <w:i/>
          <w:sz w:val="28"/>
          <w:szCs w:val="28"/>
          <w:lang w:eastAsia="es-ES"/>
        </w:rPr>
        <w:t>.</w:t>
      </w:r>
      <w:r w:rsidR="0003775C" w:rsidRPr="00CD542C">
        <w:rPr>
          <w:rFonts w:ascii="Times New Roman" w:hAnsi="Times New Roman"/>
          <w:sz w:val="28"/>
          <w:szCs w:val="28"/>
          <w:lang w:eastAsia="es-ES"/>
        </w:rPr>
        <w:t xml:space="preserve"> </w:t>
      </w:r>
    </w:p>
    <w:p w:rsidR="000B51F4" w:rsidRPr="00CD542C" w:rsidRDefault="000B51F4" w:rsidP="00CD542C">
      <w:pPr>
        <w:spacing w:after="0" w:line="240" w:lineRule="auto"/>
        <w:jc w:val="both"/>
        <w:rPr>
          <w:rFonts w:ascii="Times New Roman" w:hAnsi="Times New Roman"/>
          <w:sz w:val="28"/>
          <w:szCs w:val="28"/>
          <w:lang w:eastAsia="es-ES"/>
        </w:rPr>
      </w:pPr>
    </w:p>
    <w:p w:rsidR="008A17BF" w:rsidRPr="00CD542C" w:rsidRDefault="00974596"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La V</w:t>
      </w:r>
      <w:r w:rsidR="000B51F4" w:rsidRPr="00CD542C">
        <w:rPr>
          <w:rFonts w:ascii="Times New Roman" w:hAnsi="Times New Roman"/>
          <w:sz w:val="28"/>
          <w:szCs w:val="28"/>
          <w:lang w:eastAsia="es-ES"/>
        </w:rPr>
        <w:t xml:space="preserve">ista </w:t>
      </w:r>
      <w:r w:rsidRPr="00CD542C">
        <w:rPr>
          <w:rFonts w:ascii="Times New Roman" w:hAnsi="Times New Roman"/>
          <w:sz w:val="28"/>
          <w:szCs w:val="28"/>
          <w:lang w:eastAsia="es-ES"/>
        </w:rPr>
        <w:t>F</w:t>
      </w:r>
      <w:r w:rsidR="000B51F4" w:rsidRPr="00CD542C">
        <w:rPr>
          <w:rFonts w:ascii="Times New Roman" w:hAnsi="Times New Roman"/>
          <w:sz w:val="28"/>
          <w:szCs w:val="28"/>
          <w:lang w:eastAsia="es-ES"/>
        </w:rPr>
        <w:t xml:space="preserve">iscal considera que existen inconsistencias en la redacción de la norma demandada, lo cual afecta la interpretación y el sentido de la misma. </w:t>
      </w:r>
      <w:r w:rsidRPr="00CD542C">
        <w:rPr>
          <w:rFonts w:ascii="Times New Roman" w:hAnsi="Times New Roman"/>
          <w:sz w:val="28"/>
          <w:szCs w:val="28"/>
          <w:lang w:eastAsia="es-ES"/>
        </w:rPr>
        <w:t xml:space="preserve">Para esta entidad, </w:t>
      </w:r>
      <w:r w:rsidR="008A17BF" w:rsidRPr="00CD542C">
        <w:rPr>
          <w:rFonts w:ascii="Times New Roman" w:hAnsi="Times New Roman"/>
          <w:sz w:val="28"/>
          <w:szCs w:val="28"/>
          <w:lang w:eastAsia="es-ES"/>
        </w:rPr>
        <w:t xml:space="preserve">la norma presenta dos sentidos. </w:t>
      </w:r>
      <w:r w:rsidR="00CD0DB7" w:rsidRPr="00CD542C">
        <w:rPr>
          <w:rFonts w:ascii="Times New Roman" w:hAnsi="Times New Roman"/>
          <w:sz w:val="28"/>
          <w:szCs w:val="28"/>
          <w:lang w:eastAsia="es-ES"/>
        </w:rPr>
        <w:t>El primero de ellos, el</w:t>
      </w:r>
      <w:r w:rsidR="008A17BF" w:rsidRPr="00CD542C">
        <w:rPr>
          <w:rFonts w:ascii="Times New Roman" w:hAnsi="Times New Roman"/>
          <w:sz w:val="28"/>
          <w:szCs w:val="28"/>
          <w:lang w:eastAsia="es-ES"/>
        </w:rPr>
        <w:t xml:space="preserve"> que propone el accionante en su escrito, </w:t>
      </w:r>
      <w:r w:rsidR="007E1EF9" w:rsidRPr="00CD542C">
        <w:rPr>
          <w:rFonts w:ascii="Times New Roman" w:hAnsi="Times New Roman"/>
          <w:sz w:val="28"/>
          <w:szCs w:val="28"/>
          <w:lang w:eastAsia="es-ES"/>
        </w:rPr>
        <w:t>“</w:t>
      </w:r>
      <w:r w:rsidR="007E1EF9" w:rsidRPr="00CD542C">
        <w:rPr>
          <w:rFonts w:ascii="Times New Roman" w:hAnsi="Times New Roman"/>
          <w:i/>
          <w:iCs/>
          <w:sz w:val="28"/>
          <w:szCs w:val="28"/>
          <w:lang w:eastAsia="es-ES"/>
        </w:rPr>
        <w:t xml:space="preserve">esto es que se trata de un </w:t>
      </w:r>
      <w:r w:rsidR="008A17BF" w:rsidRPr="00CD542C">
        <w:rPr>
          <w:rFonts w:ascii="Times New Roman" w:hAnsi="Times New Roman"/>
          <w:i/>
          <w:iCs/>
          <w:sz w:val="28"/>
          <w:szCs w:val="28"/>
          <w:lang w:eastAsia="es-ES"/>
        </w:rPr>
        <w:t>elemento subjetiv</w:t>
      </w:r>
      <w:r w:rsidR="003C13BB" w:rsidRPr="00CD542C">
        <w:rPr>
          <w:rFonts w:ascii="Times New Roman" w:hAnsi="Times New Roman"/>
          <w:i/>
          <w:iCs/>
          <w:sz w:val="28"/>
          <w:szCs w:val="28"/>
          <w:lang w:eastAsia="es-ES"/>
        </w:rPr>
        <w:t>o del tipo penal de feminicidio</w:t>
      </w:r>
      <w:r w:rsidR="007E1EF9" w:rsidRPr="00CD542C">
        <w:rPr>
          <w:rFonts w:ascii="Times New Roman" w:hAnsi="Times New Roman"/>
          <w:i/>
          <w:iCs/>
          <w:sz w:val="28"/>
          <w:szCs w:val="28"/>
          <w:lang w:eastAsia="es-ES"/>
        </w:rPr>
        <w:t>, o en sus palabras</w:t>
      </w:r>
      <w:r w:rsidR="008A17BF" w:rsidRPr="00CD542C">
        <w:rPr>
          <w:rFonts w:ascii="Times New Roman" w:hAnsi="Times New Roman"/>
          <w:i/>
          <w:iCs/>
          <w:sz w:val="28"/>
          <w:szCs w:val="28"/>
          <w:lang w:eastAsia="es-ES"/>
        </w:rPr>
        <w:t xml:space="preserve"> un verbo rector</w:t>
      </w:r>
      <w:r w:rsidR="008A17BF" w:rsidRPr="00CD542C">
        <w:rPr>
          <w:rFonts w:ascii="Times New Roman" w:hAnsi="Times New Roman"/>
          <w:sz w:val="28"/>
          <w:szCs w:val="28"/>
          <w:lang w:eastAsia="es-ES"/>
        </w:rPr>
        <w:t xml:space="preserve"> </w:t>
      </w:r>
      <w:r w:rsidR="008A17BF" w:rsidRPr="00CD542C">
        <w:rPr>
          <w:rFonts w:ascii="Times New Roman" w:hAnsi="Times New Roman"/>
          <w:i/>
          <w:iCs/>
          <w:sz w:val="28"/>
          <w:szCs w:val="28"/>
          <w:lang w:eastAsia="es-ES"/>
        </w:rPr>
        <w:t>alternativo</w:t>
      </w:r>
      <w:r w:rsidR="007E1EF9" w:rsidRPr="00CD542C">
        <w:rPr>
          <w:rFonts w:ascii="Times New Roman" w:hAnsi="Times New Roman"/>
          <w:sz w:val="28"/>
          <w:szCs w:val="28"/>
          <w:lang w:eastAsia="es-ES"/>
        </w:rPr>
        <w:t>”</w:t>
      </w:r>
      <w:r w:rsidR="007E1EF9" w:rsidRPr="00CD542C">
        <w:rPr>
          <w:rStyle w:val="Refdenotaalpie"/>
          <w:rFonts w:ascii="Times New Roman" w:hAnsi="Times New Roman"/>
          <w:sz w:val="28"/>
          <w:szCs w:val="28"/>
          <w:lang w:eastAsia="es-ES"/>
        </w:rPr>
        <w:footnoteReference w:id="13"/>
      </w:r>
      <w:r w:rsidR="008A17BF" w:rsidRPr="00CD542C">
        <w:rPr>
          <w:rFonts w:ascii="Times New Roman" w:hAnsi="Times New Roman"/>
          <w:sz w:val="28"/>
          <w:szCs w:val="28"/>
          <w:lang w:eastAsia="es-ES"/>
        </w:rPr>
        <w:t xml:space="preserve">. </w:t>
      </w:r>
      <w:r w:rsidR="00CD0DB7" w:rsidRPr="00CD542C">
        <w:rPr>
          <w:rFonts w:ascii="Times New Roman" w:hAnsi="Times New Roman"/>
          <w:sz w:val="28"/>
          <w:szCs w:val="28"/>
          <w:lang w:eastAsia="es-ES"/>
        </w:rPr>
        <w:t>El segundo, considerado</w:t>
      </w:r>
      <w:r w:rsidR="008A17BF" w:rsidRPr="00CD542C">
        <w:rPr>
          <w:rFonts w:ascii="Times New Roman" w:hAnsi="Times New Roman"/>
          <w:sz w:val="28"/>
          <w:szCs w:val="28"/>
          <w:lang w:eastAsia="es-ES"/>
        </w:rPr>
        <w:t xml:space="preserve"> por el </w:t>
      </w:r>
      <w:r w:rsidR="00CD0DB7" w:rsidRPr="00CD542C">
        <w:rPr>
          <w:rFonts w:ascii="Times New Roman" w:hAnsi="Times New Roman"/>
          <w:sz w:val="28"/>
          <w:szCs w:val="28"/>
          <w:lang w:eastAsia="es-ES"/>
        </w:rPr>
        <w:t>Ministerio Público como adecuado</w:t>
      </w:r>
      <w:r w:rsidR="008A17BF" w:rsidRPr="00CD542C">
        <w:rPr>
          <w:rFonts w:ascii="Times New Roman" w:hAnsi="Times New Roman"/>
          <w:sz w:val="28"/>
          <w:szCs w:val="28"/>
          <w:lang w:eastAsia="es-ES"/>
        </w:rPr>
        <w:t xml:space="preserve">, hace referencia a una </w:t>
      </w:r>
      <w:r w:rsidR="008A17BF" w:rsidRPr="00CD542C">
        <w:rPr>
          <w:rFonts w:ascii="Times New Roman" w:hAnsi="Times New Roman"/>
          <w:i/>
          <w:sz w:val="28"/>
          <w:szCs w:val="28"/>
          <w:lang w:eastAsia="es-ES"/>
        </w:rPr>
        <w:t xml:space="preserve">“mera </w:t>
      </w:r>
      <w:r w:rsidR="00BB2F41" w:rsidRPr="00CD542C">
        <w:rPr>
          <w:rFonts w:ascii="Times New Roman" w:hAnsi="Times New Roman"/>
          <w:i/>
          <w:sz w:val="28"/>
          <w:szCs w:val="28"/>
          <w:lang w:eastAsia="es-ES"/>
        </w:rPr>
        <w:t>descripción de un antecedente fá</w:t>
      </w:r>
      <w:r w:rsidR="008A17BF" w:rsidRPr="00CD542C">
        <w:rPr>
          <w:rFonts w:ascii="Times New Roman" w:hAnsi="Times New Roman"/>
          <w:i/>
          <w:sz w:val="28"/>
          <w:szCs w:val="28"/>
          <w:lang w:eastAsia="es-ES"/>
        </w:rPr>
        <w:t>ctico o un contexto de agresiones o violenci</w:t>
      </w:r>
      <w:r w:rsidR="00CD0DB7" w:rsidRPr="00CD542C">
        <w:rPr>
          <w:rFonts w:ascii="Times New Roman" w:hAnsi="Times New Roman"/>
          <w:i/>
          <w:sz w:val="28"/>
          <w:szCs w:val="28"/>
          <w:lang w:eastAsia="es-ES"/>
        </w:rPr>
        <w:t>a del sujeto activo contra la ví</w:t>
      </w:r>
      <w:r w:rsidR="008A17BF" w:rsidRPr="00CD542C">
        <w:rPr>
          <w:rFonts w:ascii="Times New Roman" w:hAnsi="Times New Roman"/>
          <w:i/>
          <w:sz w:val="28"/>
          <w:szCs w:val="28"/>
          <w:lang w:eastAsia="es-ES"/>
        </w:rPr>
        <w:t>ctima antes de que se cometa el feminicidio”</w:t>
      </w:r>
      <w:r w:rsidR="008A17BF" w:rsidRPr="00CD542C">
        <w:rPr>
          <w:rStyle w:val="Refdenotaalpie"/>
          <w:rFonts w:ascii="Times New Roman" w:hAnsi="Times New Roman"/>
          <w:i/>
          <w:sz w:val="28"/>
          <w:szCs w:val="28"/>
          <w:lang w:eastAsia="es-ES"/>
        </w:rPr>
        <w:footnoteReference w:id="14"/>
      </w:r>
      <w:r w:rsidR="008A17BF" w:rsidRPr="00CD542C">
        <w:rPr>
          <w:rFonts w:ascii="Times New Roman" w:hAnsi="Times New Roman"/>
          <w:i/>
          <w:sz w:val="28"/>
          <w:szCs w:val="28"/>
          <w:lang w:eastAsia="es-ES"/>
        </w:rPr>
        <w:t>.</w:t>
      </w:r>
    </w:p>
    <w:p w:rsidR="008A17BF" w:rsidRPr="00CD542C" w:rsidRDefault="008A17BF" w:rsidP="00CD542C">
      <w:pPr>
        <w:spacing w:after="0" w:line="240" w:lineRule="auto"/>
        <w:jc w:val="both"/>
        <w:rPr>
          <w:rFonts w:ascii="Times New Roman" w:hAnsi="Times New Roman"/>
          <w:i/>
          <w:sz w:val="28"/>
          <w:szCs w:val="28"/>
          <w:lang w:eastAsia="es-ES"/>
        </w:rPr>
      </w:pPr>
    </w:p>
    <w:p w:rsidR="009C3DFF" w:rsidRPr="00CD542C" w:rsidRDefault="009C3DFF"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Para llegar a dicha interpretación, la Vista Fiscal utilizó la definición de feminicidio establecida en el diccionario de la Real Academia de la Lengua Española y en la Ley 1761 de 2015. Enfatiza que una interpretación acertada de la norma, permite constatar que el contenido de la misma se refiere a simples descripciones de contextos o si</w:t>
      </w:r>
      <w:r w:rsidR="00CD0DB7" w:rsidRPr="00CD542C">
        <w:rPr>
          <w:rFonts w:ascii="Times New Roman" w:hAnsi="Times New Roman"/>
          <w:sz w:val="28"/>
          <w:szCs w:val="28"/>
          <w:lang w:eastAsia="es-ES"/>
        </w:rPr>
        <w:t>tuaciones que por lo general pre</w:t>
      </w:r>
      <w:r w:rsidRPr="00CD542C">
        <w:rPr>
          <w:rFonts w:ascii="Times New Roman" w:hAnsi="Times New Roman"/>
          <w:sz w:val="28"/>
          <w:szCs w:val="28"/>
          <w:lang w:eastAsia="es-ES"/>
        </w:rPr>
        <w:t xml:space="preserve">ceden al delito de feminicidio y que le permiten al juez realizar un estudio exhaustivo de las circunstancias del caso. </w:t>
      </w:r>
    </w:p>
    <w:p w:rsidR="004E406B" w:rsidRPr="00CD542C" w:rsidRDefault="004E406B" w:rsidP="00CD542C">
      <w:pPr>
        <w:spacing w:after="0" w:line="240" w:lineRule="auto"/>
        <w:jc w:val="both"/>
        <w:rPr>
          <w:rFonts w:ascii="Times New Roman" w:hAnsi="Times New Roman"/>
          <w:sz w:val="28"/>
          <w:szCs w:val="28"/>
          <w:lang w:eastAsia="es-ES"/>
        </w:rPr>
      </w:pPr>
    </w:p>
    <w:p w:rsidR="00856B05" w:rsidRPr="00CD542C" w:rsidRDefault="00BB2F41"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En otras palabras, el inciso acusado</w:t>
      </w:r>
      <w:r w:rsidR="004E406B" w:rsidRPr="00CD542C">
        <w:rPr>
          <w:rFonts w:ascii="Times New Roman" w:hAnsi="Times New Roman"/>
          <w:sz w:val="28"/>
          <w:szCs w:val="28"/>
          <w:lang w:eastAsia="es-ES"/>
        </w:rPr>
        <w:t xml:space="preserve"> brinda </w:t>
      </w:r>
      <w:r w:rsidR="00856B05" w:rsidRPr="00CD542C">
        <w:rPr>
          <w:rFonts w:ascii="Times New Roman" w:hAnsi="Times New Roman"/>
          <w:sz w:val="28"/>
          <w:szCs w:val="28"/>
          <w:lang w:eastAsia="es-ES"/>
        </w:rPr>
        <w:t xml:space="preserve">un contexto para describir el delito de feminicidio, pero no obstaculiza que al interior del proceso penal se garantice el derecho al debido proceso del </w:t>
      </w:r>
      <w:r w:rsidR="004717F1" w:rsidRPr="00CD542C">
        <w:rPr>
          <w:rFonts w:ascii="Times New Roman" w:hAnsi="Times New Roman"/>
          <w:sz w:val="28"/>
          <w:szCs w:val="28"/>
          <w:lang w:eastAsia="es-ES"/>
        </w:rPr>
        <w:t xml:space="preserve">presunto agresor, pues lo que busca la norma </w:t>
      </w:r>
      <w:r w:rsidR="004717F1" w:rsidRPr="00CD542C">
        <w:rPr>
          <w:rFonts w:ascii="Times New Roman" w:hAnsi="Times New Roman"/>
          <w:i/>
          <w:sz w:val="28"/>
          <w:szCs w:val="28"/>
          <w:lang w:eastAsia="es-ES"/>
        </w:rPr>
        <w:t>“es quitar una carga a la mujer que es víctima de la violencia por el hecho de ser mujer y que como se ha demostrado tantas veces, en la coyuntura social del país-en la mayoría de los casos, por distintos motivos-no puede acercarse a las autoridades competentes para formular las denuncias que corresponden”</w:t>
      </w:r>
      <w:r w:rsidR="004717F1" w:rsidRPr="00CD542C">
        <w:rPr>
          <w:rStyle w:val="Refdenotaalpie"/>
          <w:rFonts w:ascii="Times New Roman" w:hAnsi="Times New Roman"/>
          <w:i/>
          <w:sz w:val="28"/>
          <w:szCs w:val="28"/>
          <w:lang w:eastAsia="es-ES"/>
        </w:rPr>
        <w:footnoteReference w:id="15"/>
      </w:r>
      <w:r w:rsidR="004717F1" w:rsidRPr="00CD542C">
        <w:rPr>
          <w:rFonts w:ascii="Times New Roman" w:hAnsi="Times New Roman"/>
          <w:i/>
          <w:sz w:val="28"/>
          <w:szCs w:val="28"/>
          <w:lang w:eastAsia="es-ES"/>
        </w:rPr>
        <w:t>.</w:t>
      </w:r>
    </w:p>
    <w:p w:rsidR="00856B05" w:rsidRPr="00CD542C" w:rsidRDefault="00856B05" w:rsidP="00CD542C">
      <w:pPr>
        <w:spacing w:after="0" w:line="240" w:lineRule="auto"/>
        <w:jc w:val="both"/>
        <w:rPr>
          <w:rFonts w:ascii="Times New Roman" w:hAnsi="Times New Roman"/>
          <w:sz w:val="28"/>
          <w:szCs w:val="28"/>
          <w:lang w:eastAsia="es-ES"/>
        </w:rPr>
      </w:pPr>
    </w:p>
    <w:p w:rsidR="00184063" w:rsidRPr="00CD542C" w:rsidRDefault="004717F1"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 xml:space="preserve">En conclusión, la Vista Fiscal expone que a pesar de las deficiencias en la redacción que presenta la norma demandada, ésta se debe entender como un </w:t>
      </w:r>
      <w:r w:rsidRPr="00CD542C">
        <w:rPr>
          <w:rFonts w:ascii="Times New Roman" w:hAnsi="Times New Roman"/>
          <w:sz w:val="28"/>
          <w:szCs w:val="28"/>
          <w:lang w:eastAsia="es-ES"/>
        </w:rPr>
        <w:lastRenderedPageBreak/>
        <w:t>elemento contextual que podría tomarse como un indicio para probar el feminicidio, sin que ello implique que se va</w:t>
      </w:r>
      <w:r w:rsidR="00D13FCC" w:rsidRPr="00CD542C">
        <w:rPr>
          <w:rFonts w:ascii="Times New Roman" w:hAnsi="Times New Roman"/>
          <w:sz w:val="28"/>
          <w:szCs w:val="28"/>
          <w:lang w:eastAsia="es-ES"/>
        </w:rPr>
        <w:t>n</w:t>
      </w:r>
      <w:r w:rsidRPr="00CD542C">
        <w:rPr>
          <w:rFonts w:ascii="Times New Roman" w:hAnsi="Times New Roman"/>
          <w:sz w:val="28"/>
          <w:szCs w:val="28"/>
          <w:lang w:eastAsia="es-ES"/>
        </w:rPr>
        <w:t xml:space="preserve"> a reemplazar los</w:t>
      </w:r>
      <w:r w:rsidR="00D13FCC" w:rsidRPr="00CD542C">
        <w:rPr>
          <w:rFonts w:ascii="Times New Roman" w:hAnsi="Times New Roman"/>
          <w:sz w:val="28"/>
          <w:szCs w:val="28"/>
          <w:lang w:eastAsia="es-ES"/>
        </w:rPr>
        <w:t xml:space="preserve"> verbos rectores del tipo penal;</w:t>
      </w:r>
      <w:r w:rsidRPr="00CD542C">
        <w:rPr>
          <w:rFonts w:ascii="Times New Roman" w:hAnsi="Times New Roman"/>
          <w:sz w:val="28"/>
          <w:szCs w:val="28"/>
          <w:lang w:eastAsia="es-ES"/>
        </w:rPr>
        <w:t xml:space="preserve"> es decir</w:t>
      </w:r>
      <w:r w:rsidR="00D13FCC" w:rsidRPr="00CD542C">
        <w:rPr>
          <w:rFonts w:ascii="Times New Roman" w:hAnsi="Times New Roman"/>
          <w:sz w:val="28"/>
          <w:szCs w:val="28"/>
          <w:lang w:eastAsia="es-ES"/>
        </w:rPr>
        <w:t>,</w:t>
      </w:r>
      <w:r w:rsidRPr="00CD542C">
        <w:rPr>
          <w:rFonts w:ascii="Times New Roman" w:hAnsi="Times New Roman"/>
          <w:sz w:val="28"/>
          <w:szCs w:val="28"/>
          <w:lang w:eastAsia="es-ES"/>
        </w:rPr>
        <w:t xml:space="preserve"> los elementos esenciales del feminicidio.</w:t>
      </w:r>
    </w:p>
    <w:p w:rsidR="00184063" w:rsidRPr="00CD542C" w:rsidRDefault="00184063" w:rsidP="00CD542C">
      <w:pPr>
        <w:spacing w:after="0" w:line="240" w:lineRule="auto"/>
        <w:jc w:val="center"/>
        <w:rPr>
          <w:rFonts w:ascii="Times New Roman" w:hAnsi="Times New Roman"/>
          <w:sz w:val="28"/>
          <w:szCs w:val="28"/>
          <w:lang w:eastAsia="es-ES"/>
        </w:rPr>
      </w:pPr>
    </w:p>
    <w:p w:rsidR="00943F38" w:rsidRPr="00CD542C" w:rsidRDefault="00D13FCC" w:rsidP="00CD542C">
      <w:pPr>
        <w:pStyle w:val="Prrafodelista"/>
        <w:numPr>
          <w:ilvl w:val="0"/>
          <w:numId w:val="1"/>
        </w:numPr>
        <w:jc w:val="both"/>
        <w:rPr>
          <w:b/>
          <w:sz w:val="28"/>
          <w:szCs w:val="28"/>
        </w:rPr>
      </w:pPr>
      <w:r w:rsidRPr="00CD542C">
        <w:rPr>
          <w:b/>
          <w:sz w:val="28"/>
          <w:szCs w:val="28"/>
        </w:rPr>
        <w:t xml:space="preserve"> </w:t>
      </w:r>
      <w:r w:rsidR="00595191" w:rsidRPr="00CD542C">
        <w:rPr>
          <w:b/>
          <w:sz w:val="28"/>
          <w:szCs w:val="28"/>
        </w:rPr>
        <w:t>CONSIDERACIONES DE LA CORTE CONSTITUCIONAL</w:t>
      </w:r>
    </w:p>
    <w:p w:rsidR="00595191" w:rsidRPr="00CD542C" w:rsidRDefault="00595191" w:rsidP="00CD542C">
      <w:pPr>
        <w:spacing w:after="0" w:line="240" w:lineRule="auto"/>
        <w:jc w:val="both"/>
        <w:rPr>
          <w:rFonts w:ascii="Times New Roman" w:hAnsi="Times New Roman"/>
          <w:sz w:val="28"/>
          <w:szCs w:val="28"/>
          <w:lang w:eastAsia="es-ES"/>
        </w:rPr>
      </w:pPr>
    </w:p>
    <w:p w:rsidR="00595191" w:rsidRPr="00CD542C" w:rsidRDefault="00595191" w:rsidP="00CD542C">
      <w:pPr>
        <w:spacing w:after="0" w:line="240" w:lineRule="auto"/>
        <w:contextualSpacing/>
        <w:jc w:val="both"/>
        <w:rPr>
          <w:rFonts w:ascii="Times New Roman" w:hAnsi="Times New Roman"/>
          <w:b/>
          <w:sz w:val="28"/>
          <w:szCs w:val="28"/>
          <w:lang w:eastAsia="es-ES"/>
        </w:rPr>
      </w:pPr>
      <w:r w:rsidRPr="00CD542C">
        <w:rPr>
          <w:rFonts w:ascii="Times New Roman" w:hAnsi="Times New Roman"/>
          <w:b/>
          <w:sz w:val="28"/>
          <w:szCs w:val="28"/>
          <w:lang w:eastAsia="es-ES"/>
        </w:rPr>
        <w:t xml:space="preserve">Competencia </w:t>
      </w:r>
    </w:p>
    <w:p w:rsidR="00F435B1" w:rsidRPr="00CD542C" w:rsidRDefault="00F435B1" w:rsidP="00CD542C">
      <w:pPr>
        <w:spacing w:after="0" w:line="240" w:lineRule="auto"/>
        <w:rPr>
          <w:rFonts w:ascii="Times New Roman" w:hAnsi="Times New Roman"/>
          <w:sz w:val="28"/>
          <w:szCs w:val="28"/>
        </w:rPr>
      </w:pPr>
    </w:p>
    <w:p w:rsidR="00595191" w:rsidRPr="00CD542C" w:rsidRDefault="00595191"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1. En virtud de lo dispuesto en el artículo 241, numeral 4° de la Carta Política, la Corte Constitucional es competente para conocer de esta demanda, pues se trata de una acusación de inconstitucionalidad contra un precepto que forma parte de una ley de la República.</w:t>
      </w:r>
    </w:p>
    <w:p w:rsidR="00595191" w:rsidRPr="00CD542C" w:rsidRDefault="00595191" w:rsidP="00CD542C">
      <w:pPr>
        <w:spacing w:after="0" w:line="240" w:lineRule="auto"/>
        <w:rPr>
          <w:rFonts w:ascii="Times New Roman" w:hAnsi="Times New Roman"/>
          <w:sz w:val="28"/>
          <w:szCs w:val="28"/>
        </w:rPr>
      </w:pPr>
    </w:p>
    <w:p w:rsidR="00595191" w:rsidRPr="00CD542C" w:rsidRDefault="00667FC5" w:rsidP="00CD542C">
      <w:pPr>
        <w:spacing w:after="0" w:line="240" w:lineRule="auto"/>
        <w:jc w:val="both"/>
        <w:rPr>
          <w:rFonts w:ascii="Times New Roman" w:hAnsi="Times New Roman"/>
          <w:sz w:val="28"/>
          <w:szCs w:val="28"/>
        </w:rPr>
      </w:pPr>
      <w:r w:rsidRPr="00CD542C">
        <w:rPr>
          <w:rFonts w:ascii="Times New Roman" w:hAnsi="Times New Roman"/>
          <w:b/>
          <w:bCs/>
          <w:sz w:val="28"/>
          <w:szCs w:val="28"/>
          <w:bdr w:val="none" w:sz="0" w:space="0" w:color="auto" w:frame="1"/>
        </w:rPr>
        <w:t>Alcance de la norma, p</w:t>
      </w:r>
      <w:r w:rsidR="00595191" w:rsidRPr="00CD542C">
        <w:rPr>
          <w:rFonts w:ascii="Times New Roman" w:hAnsi="Times New Roman"/>
          <w:b/>
          <w:bCs/>
          <w:sz w:val="28"/>
          <w:szCs w:val="28"/>
          <w:bdr w:val="none" w:sz="0" w:space="0" w:color="auto" w:frame="1"/>
        </w:rPr>
        <w:t>lanteamiento del problema jurídico y metodología de resolución</w:t>
      </w:r>
    </w:p>
    <w:p w:rsidR="00595191" w:rsidRPr="00CD542C" w:rsidRDefault="00595191" w:rsidP="00CD542C">
      <w:pPr>
        <w:spacing w:after="0" w:line="240" w:lineRule="auto"/>
        <w:rPr>
          <w:rFonts w:ascii="Times New Roman" w:hAnsi="Times New Roman"/>
          <w:sz w:val="28"/>
          <w:szCs w:val="28"/>
        </w:rPr>
      </w:pPr>
    </w:p>
    <w:p w:rsidR="00DE4D50" w:rsidRPr="00CD542C" w:rsidRDefault="00DF0AE9" w:rsidP="00CD542C">
      <w:pPr>
        <w:spacing w:after="0" w:line="240" w:lineRule="auto"/>
        <w:jc w:val="both"/>
        <w:rPr>
          <w:rFonts w:ascii="Times New Roman" w:hAnsi="Times New Roman"/>
          <w:iCs/>
          <w:sz w:val="28"/>
          <w:szCs w:val="28"/>
          <w:lang w:eastAsia="es-ES"/>
        </w:rPr>
      </w:pPr>
      <w:r w:rsidRPr="00CD542C">
        <w:rPr>
          <w:rFonts w:ascii="Times New Roman" w:hAnsi="Times New Roman"/>
          <w:iCs/>
          <w:sz w:val="28"/>
          <w:szCs w:val="28"/>
          <w:lang w:eastAsia="es-ES"/>
        </w:rPr>
        <w:t xml:space="preserve">2. </w:t>
      </w:r>
      <w:r w:rsidR="00DE4D50" w:rsidRPr="00CD542C">
        <w:rPr>
          <w:rFonts w:ascii="Times New Roman" w:hAnsi="Times New Roman"/>
          <w:iCs/>
          <w:sz w:val="28"/>
          <w:szCs w:val="28"/>
          <w:lang w:eastAsia="es-ES"/>
        </w:rPr>
        <w:t>El demandante considera que la determinación de antecedentes o indicios de violencia o amenaza en las diferentes esferas sociales en contra de la víctima</w:t>
      </w:r>
      <w:r w:rsidR="00813A99" w:rsidRPr="00CD542C">
        <w:rPr>
          <w:rFonts w:ascii="Times New Roman" w:hAnsi="Times New Roman"/>
          <w:iCs/>
          <w:sz w:val="28"/>
          <w:szCs w:val="28"/>
          <w:lang w:eastAsia="es-ES"/>
        </w:rPr>
        <w:t>,</w:t>
      </w:r>
      <w:r w:rsidR="00DE4D50" w:rsidRPr="00CD542C">
        <w:rPr>
          <w:rFonts w:ascii="Times New Roman" w:hAnsi="Times New Roman"/>
          <w:iCs/>
          <w:sz w:val="28"/>
          <w:szCs w:val="28"/>
          <w:lang w:eastAsia="es-ES"/>
        </w:rPr>
        <w:t xml:space="preserve"> sin una calificación especial</w:t>
      </w:r>
      <w:r w:rsidR="00813A99" w:rsidRPr="00CD542C">
        <w:rPr>
          <w:rFonts w:ascii="Times New Roman" w:hAnsi="Times New Roman"/>
          <w:iCs/>
          <w:sz w:val="28"/>
          <w:szCs w:val="28"/>
          <w:lang w:eastAsia="es-ES"/>
        </w:rPr>
        <w:t>,</w:t>
      </w:r>
      <w:r w:rsidR="00DE4D50" w:rsidRPr="00CD542C">
        <w:rPr>
          <w:rFonts w:ascii="Times New Roman" w:hAnsi="Times New Roman"/>
          <w:iCs/>
          <w:sz w:val="28"/>
          <w:szCs w:val="28"/>
          <w:lang w:eastAsia="es-ES"/>
        </w:rPr>
        <w:t xml:space="preserve"> generan una indeterminación en el ingrediente subjetivo del tipo, pues no constituyen suficiente evidencia para demostrar que la motivación del homicidio es el odio o repulsión al género femenino.</w:t>
      </w:r>
    </w:p>
    <w:p w:rsidR="00E56603" w:rsidRPr="00CD542C" w:rsidRDefault="00E56603" w:rsidP="00CD542C">
      <w:pPr>
        <w:spacing w:after="0" w:line="240" w:lineRule="auto"/>
        <w:jc w:val="both"/>
        <w:rPr>
          <w:rFonts w:ascii="Times New Roman" w:hAnsi="Times New Roman"/>
          <w:iCs/>
          <w:sz w:val="28"/>
          <w:szCs w:val="28"/>
          <w:lang w:eastAsia="es-ES"/>
        </w:rPr>
      </w:pPr>
    </w:p>
    <w:p w:rsidR="00DE4D50" w:rsidRPr="00CD542C" w:rsidRDefault="00DF0AE9" w:rsidP="00CD542C">
      <w:pPr>
        <w:spacing w:after="0" w:line="240" w:lineRule="auto"/>
        <w:jc w:val="both"/>
        <w:rPr>
          <w:rFonts w:ascii="Times New Roman" w:hAnsi="Times New Roman"/>
          <w:iCs/>
          <w:sz w:val="28"/>
          <w:szCs w:val="28"/>
          <w:lang w:val="es-CO" w:eastAsia="es-ES"/>
        </w:rPr>
      </w:pPr>
      <w:r w:rsidRPr="00CD542C">
        <w:rPr>
          <w:rFonts w:ascii="Times New Roman" w:hAnsi="Times New Roman"/>
          <w:iCs/>
          <w:sz w:val="28"/>
          <w:szCs w:val="28"/>
          <w:lang w:eastAsia="es-ES"/>
        </w:rPr>
        <w:t xml:space="preserve">3. </w:t>
      </w:r>
      <w:r w:rsidR="00E56603" w:rsidRPr="00CD542C">
        <w:rPr>
          <w:rFonts w:ascii="Times New Roman" w:hAnsi="Times New Roman"/>
          <w:iCs/>
          <w:sz w:val="28"/>
          <w:szCs w:val="28"/>
          <w:lang w:eastAsia="es-ES"/>
        </w:rPr>
        <w:t>La Institución Universitaria Politécnico Grancolombiano solici</w:t>
      </w:r>
      <w:r w:rsidR="00B27BA6" w:rsidRPr="00CD542C">
        <w:rPr>
          <w:rFonts w:ascii="Times New Roman" w:hAnsi="Times New Roman"/>
          <w:iCs/>
          <w:sz w:val="28"/>
          <w:szCs w:val="28"/>
          <w:lang w:eastAsia="es-ES"/>
        </w:rPr>
        <w:t>ta la declaratoria de inexequibilidad del literal</w:t>
      </w:r>
      <w:r w:rsidR="00E56603" w:rsidRPr="00CD542C">
        <w:rPr>
          <w:rFonts w:ascii="Times New Roman" w:hAnsi="Times New Roman"/>
          <w:iCs/>
          <w:sz w:val="28"/>
          <w:szCs w:val="28"/>
          <w:lang w:eastAsia="es-ES"/>
        </w:rPr>
        <w:t xml:space="preserve"> acusado</w:t>
      </w:r>
      <w:r w:rsidR="00943F38" w:rsidRPr="00CD542C">
        <w:rPr>
          <w:rFonts w:ascii="Times New Roman" w:hAnsi="Times New Roman"/>
          <w:iCs/>
          <w:sz w:val="28"/>
          <w:szCs w:val="28"/>
          <w:lang w:eastAsia="es-ES"/>
        </w:rPr>
        <w:t xml:space="preserve">, pues considera que </w:t>
      </w:r>
      <w:r w:rsidR="00E56603" w:rsidRPr="00CD542C">
        <w:rPr>
          <w:rFonts w:ascii="Times New Roman" w:hAnsi="Times New Roman"/>
          <w:iCs/>
          <w:sz w:val="28"/>
          <w:szCs w:val="28"/>
          <w:lang w:eastAsia="es-ES"/>
        </w:rPr>
        <w:t xml:space="preserve">el Legislador excedió </w:t>
      </w:r>
      <w:r w:rsidR="00943F38" w:rsidRPr="00CD542C">
        <w:rPr>
          <w:rFonts w:ascii="Times New Roman" w:hAnsi="Times New Roman"/>
          <w:iCs/>
          <w:sz w:val="28"/>
          <w:szCs w:val="28"/>
          <w:lang w:eastAsia="es-ES"/>
        </w:rPr>
        <w:t>su margen de configuración</w:t>
      </w:r>
      <w:r w:rsidR="00813A99" w:rsidRPr="00CD542C">
        <w:rPr>
          <w:rFonts w:ascii="Times New Roman" w:hAnsi="Times New Roman"/>
          <w:iCs/>
          <w:sz w:val="28"/>
          <w:szCs w:val="28"/>
          <w:lang w:eastAsia="es-ES"/>
        </w:rPr>
        <w:t>,</w:t>
      </w:r>
      <w:r w:rsidR="00943F38" w:rsidRPr="00CD542C">
        <w:rPr>
          <w:rFonts w:ascii="Times New Roman" w:hAnsi="Times New Roman"/>
          <w:iCs/>
          <w:sz w:val="28"/>
          <w:szCs w:val="28"/>
          <w:lang w:eastAsia="es-ES"/>
        </w:rPr>
        <w:t xml:space="preserve"> ya que</w:t>
      </w:r>
      <w:r w:rsidR="00E56603" w:rsidRPr="00CD542C">
        <w:rPr>
          <w:rFonts w:ascii="Times New Roman" w:hAnsi="Times New Roman"/>
          <w:iCs/>
          <w:sz w:val="28"/>
          <w:szCs w:val="28"/>
          <w:lang w:eastAsia="es-ES"/>
        </w:rPr>
        <w:t xml:space="preserve"> ató la sanción a la comisión de una conducta que estima que no es posible determinar con precisión y claridad</w:t>
      </w:r>
      <w:r w:rsidR="0011030E" w:rsidRPr="00CD542C">
        <w:rPr>
          <w:rFonts w:ascii="Times New Roman" w:hAnsi="Times New Roman"/>
          <w:iCs/>
          <w:sz w:val="28"/>
          <w:szCs w:val="28"/>
          <w:lang w:eastAsia="es-ES"/>
        </w:rPr>
        <w:t>,</w:t>
      </w:r>
      <w:r w:rsidR="00E56603" w:rsidRPr="00CD542C">
        <w:rPr>
          <w:rFonts w:ascii="Times New Roman" w:hAnsi="Times New Roman"/>
          <w:iCs/>
          <w:sz w:val="28"/>
          <w:szCs w:val="28"/>
          <w:lang w:eastAsia="es-ES"/>
        </w:rPr>
        <w:t xml:space="preserve"> y cuya valoración y adecuación típica puede variar de un sujeto a otro. Considera que se trata de un tipo penal abierto sin criterios claros y objetivo</w:t>
      </w:r>
      <w:r w:rsidR="00943F38" w:rsidRPr="00CD542C">
        <w:rPr>
          <w:rFonts w:ascii="Times New Roman" w:hAnsi="Times New Roman"/>
          <w:iCs/>
          <w:sz w:val="28"/>
          <w:szCs w:val="28"/>
          <w:lang w:eastAsia="es-ES"/>
        </w:rPr>
        <w:t>s para establecer</w:t>
      </w:r>
      <w:r w:rsidR="00E56603" w:rsidRPr="00CD542C">
        <w:rPr>
          <w:rFonts w:ascii="Times New Roman" w:hAnsi="Times New Roman"/>
          <w:iCs/>
          <w:sz w:val="28"/>
          <w:szCs w:val="28"/>
          <w:lang w:eastAsia="es-ES"/>
        </w:rPr>
        <w:t xml:space="preserve"> las circunstancias que configuran un antecedente o un indicio de violencia, lo que viola los principios de proporcionalidad y razonabilidad establecidos en la Constitución. La Universidad </w:t>
      </w:r>
      <w:r w:rsidR="00E56603" w:rsidRPr="00CD542C">
        <w:rPr>
          <w:rFonts w:ascii="Times New Roman" w:hAnsi="Times New Roman"/>
          <w:iCs/>
          <w:sz w:val="28"/>
          <w:szCs w:val="28"/>
          <w:lang w:val="es-CO" w:eastAsia="es-ES"/>
        </w:rPr>
        <w:t>Externado de Colombia, en una intervención extemporánea, también solicita</w:t>
      </w:r>
      <w:r w:rsidR="00B27BA6" w:rsidRPr="00CD542C">
        <w:rPr>
          <w:rFonts w:ascii="Times New Roman" w:hAnsi="Times New Roman"/>
          <w:iCs/>
          <w:sz w:val="28"/>
          <w:szCs w:val="28"/>
          <w:lang w:val="es-CO" w:eastAsia="es-ES"/>
        </w:rPr>
        <w:t xml:space="preserve"> el retiro de la norma del ordenamiento jurídico en consideración a argumentos similares</w:t>
      </w:r>
      <w:r w:rsidR="00E56603" w:rsidRPr="00CD542C">
        <w:rPr>
          <w:rFonts w:ascii="Times New Roman" w:hAnsi="Times New Roman"/>
          <w:iCs/>
          <w:sz w:val="28"/>
          <w:szCs w:val="28"/>
          <w:lang w:val="es-CO" w:eastAsia="es-ES"/>
        </w:rPr>
        <w:t xml:space="preserve">. </w:t>
      </w:r>
    </w:p>
    <w:p w:rsidR="00B70DA5" w:rsidRPr="00CD542C" w:rsidRDefault="00B70DA5" w:rsidP="00CD542C">
      <w:pPr>
        <w:spacing w:after="0" w:line="240" w:lineRule="auto"/>
        <w:jc w:val="both"/>
        <w:rPr>
          <w:rFonts w:ascii="Times New Roman" w:hAnsi="Times New Roman"/>
          <w:iCs/>
          <w:sz w:val="28"/>
          <w:szCs w:val="28"/>
          <w:lang w:val="es-CO" w:eastAsia="es-ES"/>
        </w:rPr>
      </w:pPr>
    </w:p>
    <w:p w:rsidR="00AC1E46" w:rsidRPr="00CD542C" w:rsidRDefault="00DF0AE9"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4. </w:t>
      </w:r>
      <w:r w:rsidR="00E56603" w:rsidRPr="00CD542C">
        <w:rPr>
          <w:rFonts w:ascii="Times New Roman" w:hAnsi="Times New Roman"/>
          <w:sz w:val="28"/>
          <w:szCs w:val="28"/>
          <w:lang w:val="es-CO"/>
        </w:rPr>
        <w:t>La Secretaría Distrital de la Mujer</w:t>
      </w:r>
      <w:r w:rsidR="0011030E" w:rsidRPr="00CD542C">
        <w:rPr>
          <w:rFonts w:ascii="Times New Roman" w:hAnsi="Times New Roman"/>
          <w:sz w:val="28"/>
          <w:szCs w:val="28"/>
          <w:lang w:val="es-CO"/>
        </w:rPr>
        <w:t xml:space="preserve"> de Bogotá</w:t>
      </w:r>
      <w:r w:rsidR="00E56603" w:rsidRPr="00CD542C">
        <w:rPr>
          <w:rFonts w:ascii="Times New Roman" w:hAnsi="Times New Roman"/>
          <w:sz w:val="28"/>
          <w:szCs w:val="28"/>
          <w:lang w:val="es-CO"/>
        </w:rPr>
        <w:t xml:space="preserve"> solicita </w:t>
      </w:r>
      <w:r w:rsidR="00B27BA6" w:rsidRPr="00CD542C">
        <w:rPr>
          <w:rFonts w:ascii="Times New Roman" w:hAnsi="Times New Roman"/>
          <w:sz w:val="28"/>
          <w:szCs w:val="28"/>
          <w:lang w:val="es-CO"/>
        </w:rPr>
        <w:t>la declaratoria de constitucionalidad del literal</w:t>
      </w:r>
      <w:r w:rsidR="00E56603" w:rsidRPr="00CD542C">
        <w:rPr>
          <w:rFonts w:ascii="Times New Roman" w:hAnsi="Times New Roman"/>
          <w:sz w:val="28"/>
          <w:szCs w:val="28"/>
          <w:lang w:val="es-CO"/>
        </w:rPr>
        <w:t xml:space="preserve"> acusado, pues sostiene que un elemento determinante en la investigación penal son los an</w:t>
      </w:r>
      <w:r w:rsidR="00943F38" w:rsidRPr="00CD542C">
        <w:rPr>
          <w:rFonts w:ascii="Times New Roman" w:hAnsi="Times New Roman"/>
          <w:sz w:val="28"/>
          <w:szCs w:val="28"/>
          <w:lang w:val="es-CO"/>
        </w:rPr>
        <w:t xml:space="preserve">tecedentes de violencia en los </w:t>
      </w:r>
      <w:r w:rsidR="00E56603" w:rsidRPr="00CD542C">
        <w:rPr>
          <w:rFonts w:ascii="Times New Roman" w:hAnsi="Times New Roman"/>
          <w:sz w:val="28"/>
          <w:szCs w:val="28"/>
          <w:lang w:val="es-CO"/>
        </w:rPr>
        <w:t xml:space="preserve">ámbitos </w:t>
      </w:r>
      <w:r w:rsidR="00943F38" w:rsidRPr="00CD542C">
        <w:rPr>
          <w:rFonts w:ascii="Times New Roman" w:hAnsi="Times New Roman"/>
          <w:sz w:val="28"/>
          <w:szCs w:val="28"/>
          <w:lang w:val="es-CO"/>
        </w:rPr>
        <w:t xml:space="preserve">que fija la norma y son </w:t>
      </w:r>
      <w:r w:rsidR="00E56603" w:rsidRPr="00CD542C">
        <w:rPr>
          <w:rFonts w:ascii="Times New Roman" w:hAnsi="Times New Roman"/>
          <w:sz w:val="28"/>
          <w:szCs w:val="28"/>
          <w:lang w:val="es-CO"/>
        </w:rPr>
        <w:t>los que permiten a l</w:t>
      </w:r>
      <w:r w:rsidR="00B27BA6" w:rsidRPr="00CD542C">
        <w:rPr>
          <w:rFonts w:ascii="Times New Roman" w:hAnsi="Times New Roman"/>
          <w:sz w:val="28"/>
          <w:szCs w:val="28"/>
          <w:lang w:val="es-CO"/>
        </w:rPr>
        <w:t>a Fiscalía imputar el delito de</w:t>
      </w:r>
      <w:r w:rsidR="00E56603" w:rsidRPr="00CD542C">
        <w:rPr>
          <w:rFonts w:ascii="Times New Roman" w:hAnsi="Times New Roman"/>
          <w:sz w:val="28"/>
          <w:szCs w:val="28"/>
          <w:lang w:val="es-CO"/>
        </w:rPr>
        <w:t xml:space="preserve"> feminicidio</w:t>
      </w:r>
      <w:r w:rsidR="00943F38" w:rsidRPr="00CD542C">
        <w:rPr>
          <w:rFonts w:ascii="Times New Roman" w:hAnsi="Times New Roman"/>
          <w:sz w:val="28"/>
          <w:szCs w:val="28"/>
          <w:lang w:val="es-CO"/>
        </w:rPr>
        <w:t>. D</w:t>
      </w:r>
      <w:r w:rsidR="00E56603" w:rsidRPr="00CD542C">
        <w:rPr>
          <w:rFonts w:ascii="Times New Roman" w:hAnsi="Times New Roman"/>
          <w:sz w:val="28"/>
          <w:szCs w:val="28"/>
          <w:lang w:val="es-CO"/>
        </w:rPr>
        <w:t>e otra parte</w:t>
      </w:r>
      <w:r w:rsidR="00943F38" w:rsidRPr="00CD542C">
        <w:rPr>
          <w:rFonts w:ascii="Times New Roman" w:hAnsi="Times New Roman"/>
          <w:sz w:val="28"/>
          <w:szCs w:val="28"/>
          <w:lang w:val="es-CO"/>
        </w:rPr>
        <w:t>, afirma</w:t>
      </w:r>
      <w:r w:rsidR="00E56603" w:rsidRPr="00CD542C">
        <w:rPr>
          <w:rFonts w:ascii="Times New Roman" w:hAnsi="Times New Roman"/>
          <w:sz w:val="28"/>
          <w:szCs w:val="28"/>
          <w:lang w:val="es-CO"/>
        </w:rPr>
        <w:t xml:space="preserve"> que los indicios son elementos que la jurisprudencia ha aceptado en contextos de violen</w:t>
      </w:r>
      <w:r w:rsidR="00943F38" w:rsidRPr="00CD542C">
        <w:rPr>
          <w:rFonts w:ascii="Times New Roman" w:hAnsi="Times New Roman"/>
          <w:sz w:val="28"/>
          <w:szCs w:val="28"/>
          <w:lang w:val="es-CO"/>
        </w:rPr>
        <w:t xml:space="preserve">cia sexual en contra de mujeres como material </w:t>
      </w:r>
      <w:r w:rsidR="00B27BA6" w:rsidRPr="00CD542C">
        <w:rPr>
          <w:rFonts w:ascii="Times New Roman" w:hAnsi="Times New Roman"/>
          <w:sz w:val="28"/>
          <w:szCs w:val="28"/>
          <w:lang w:val="es-CO"/>
        </w:rPr>
        <w:t xml:space="preserve">probatorio </w:t>
      </w:r>
      <w:r w:rsidR="00943F38" w:rsidRPr="00CD542C">
        <w:rPr>
          <w:rFonts w:ascii="Times New Roman" w:hAnsi="Times New Roman"/>
          <w:sz w:val="28"/>
          <w:szCs w:val="28"/>
          <w:lang w:val="es-CO"/>
        </w:rPr>
        <w:t>vá</w:t>
      </w:r>
      <w:r w:rsidR="00E56603" w:rsidRPr="00CD542C">
        <w:rPr>
          <w:rFonts w:ascii="Times New Roman" w:hAnsi="Times New Roman"/>
          <w:sz w:val="28"/>
          <w:szCs w:val="28"/>
          <w:lang w:val="es-CO"/>
        </w:rPr>
        <w:t>lido para emitir sentencias con</w:t>
      </w:r>
      <w:r w:rsidR="00B27BA6" w:rsidRPr="00CD542C">
        <w:rPr>
          <w:rFonts w:ascii="Times New Roman" w:hAnsi="Times New Roman"/>
          <w:sz w:val="28"/>
          <w:szCs w:val="28"/>
          <w:lang w:val="es-CO"/>
        </w:rPr>
        <w:t>denatorias. Cijusticia también justificó</w:t>
      </w:r>
      <w:r w:rsidR="00E56603" w:rsidRPr="00CD542C">
        <w:rPr>
          <w:rFonts w:ascii="Times New Roman" w:hAnsi="Times New Roman"/>
          <w:sz w:val="28"/>
          <w:szCs w:val="28"/>
          <w:lang w:val="es-CO"/>
        </w:rPr>
        <w:t xml:space="preserve"> la constitucionalidad de la disposición en una intervención extemporánea.</w:t>
      </w:r>
    </w:p>
    <w:p w:rsidR="00DF0AE9" w:rsidRPr="00CD542C" w:rsidRDefault="00DF0AE9" w:rsidP="00CD542C">
      <w:pPr>
        <w:spacing w:after="0" w:line="240" w:lineRule="auto"/>
        <w:jc w:val="both"/>
        <w:rPr>
          <w:rFonts w:ascii="Times New Roman" w:hAnsi="Times New Roman"/>
          <w:sz w:val="28"/>
          <w:szCs w:val="28"/>
          <w:lang w:val="es-CO"/>
        </w:rPr>
      </w:pPr>
    </w:p>
    <w:p w:rsidR="00E9443C" w:rsidRPr="00CD542C" w:rsidRDefault="00DF0AE9"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5. </w:t>
      </w:r>
      <w:r w:rsidR="00AC1E46" w:rsidRPr="00CD542C">
        <w:rPr>
          <w:rFonts w:ascii="Times New Roman" w:hAnsi="Times New Roman"/>
          <w:sz w:val="28"/>
          <w:szCs w:val="28"/>
          <w:lang w:val="es-CO"/>
        </w:rPr>
        <w:t>La Procuraduría solicita</w:t>
      </w:r>
      <w:r w:rsidR="00E56603" w:rsidRPr="00CD542C">
        <w:rPr>
          <w:rFonts w:ascii="Times New Roman" w:hAnsi="Times New Roman"/>
          <w:sz w:val="28"/>
          <w:szCs w:val="28"/>
          <w:lang w:val="es-CO"/>
        </w:rPr>
        <w:t xml:space="preserve"> </w:t>
      </w:r>
      <w:r w:rsidR="00AC1E46" w:rsidRPr="00CD542C">
        <w:rPr>
          <w:rFonts w:ascii="Times New Roman" w:hAnsi="Times New Roman"/>
          <w:sz w:val="28"/>
          <w:szCs w:val="28"/>
          <w:lang w:val="es-CO"/>
        </w:rPr>
        <w:t xml:space="preserve">que se declare la exequibilidad del aparte normativo demandado </w:t>
      </w:r>
      <w:r w:rsidR="00B27BA6" w:rsidRPr="00CD542C">
        <w:rPr>
          <w:rFonts w:ascii="Times New Roman" w:hAnsi="Times New Roman"/>
          <w:sz w:val="28"/>
          <w:szCs w:val="28"/>
          <w:lang w:val="es-CO"/>
        </w:rPr>
        <w:t>en el entendido de que el literal acusado</w:t>
      </w:r>
      <w:r w:rsidR="00AC1E46" w:rsidRPr="00CD542C">
        <w:rPr>
          <w:rFonts w:ascii="Times New Roman" w:hAnsi="Times New Roman"/>
          <w:sz w:val="28"/>
          <w:szCs w:val="28"/>
          <w:lang w:val="es-CO"/>
        </w:rPr>
        <w:t xml:space="preserve"> no determina </w:t>
      </w:r>
      <w:r w:rsidR="00AC1E46" w:rsidRPr="00CD542C">
        <w:rPr>
          <w:rFonts w:ascii="Times New Roman" w:hAnsi="Times New Roman"/>
          <w:sz w:val="28"/>
          <w:szCs w:val="28"/>
          <w:lang w:val="es-CO"/>
        </w:rPr>
        <w:lastRenderedPageBreak/>
        <w:t>un verbo rector alternativo, sino una descripción del contexto que tiene lugar antes del crimen</w:t>
      </w:r>
      <w:r w:rsidR="00B27BA6" w:rsidRPr="00CD542C">
        <w:rPr>
          <w:rFonts w:ascii="Times New Roman" w:hAnsi="Times New Roman"/>
          <w:sz w:val="28"/>
          <w:szCs w:val="28"/>
          <w:lang w:val="es-CO"/>
        </w:rPr>
        <w:t>, lo cual</w:t>
      </w:r>
      <w:r w:rsidR="00AC1E46" w:rsidRPr="00CD542C">
        <w:rPr>
          <w:rFonts w:ascii="Times New Roman" w:hAnsi="Times New Roman"/>
          <w:sz w:val="28"/>
          <w:szCs w:val="28"/>
          <w:lang w:val="es-CO"/>
        </w:rPr>
        <w:t xml:space="preserve"> permite probar el móvil del mismo. Para la Vista Fiscal, la norma tiene serias deficiencias de redacción, pero se debe admi</w:t>
      </w:r>
      <w:r w:rsidR="00943F38" w:rsidRPr="00CD542C">
        <w:rPr>
          <w:rFonts w:ascii="Times New Roman" w:hAnsi="Times New Roman"/>
          <w:sz w:val="28"/>
          <w:szCs w:val="28"/>
          <w:lang w:val="es-CO"/>
        </w:rPr>
        <w:t>tir el sentido</w:t>
      </w:r>
      <w:r w:rsidR="00AC1E46" w:rsidRPr="00CD542C">
        <w:rPr>
          <w:rFonts w:ascii="Times New Roman" w:hAnsi="Times New Roman"/>
          <w:sz w:val="28"/>
          <w:szCs w:val="28"/>
          <w:lang w:val="es-CO"/>
        </w:rPr>
        <w:t xml:space="preserve"> señalado, </w:t>
      </w:r>
      <w:r w:rsidR="00B27BA6" w:rsidRPr="00CD542C">
        <w:rPr>
          <w:rFonts w:ascii="Times New Roman" w:hAnsi="Times New Roman"/>
          <w:sz w:val="28"/>
          <w:szCs w:val="28"/>
          <w:lang w:val="es-CO"/>
        </w:rPr>
        <w:t xml:space="preserve">en tanto que no se </w:t>
      </w:r>
      <w:r w:rsidR="00AC1E46" w:rsidRPr="00CD542C">
        <w:rPr>
          <w:rFonts w:ascii="Times New Roman" w:hAnsi="Times New Roman"/>
          <w:sz w:val="28"/>
          <w:szCs w:val="28"/>
          <w:lang w:val="es-CO"/>
        </w:rPr>
        <w:t xml:space="preserve">obstaculiza el derecho al </w:t>
      </w:r>
      <w:r w:rsidR="00943F38" w:rsidRPr="00CD542C">
        <w:rPr>
          <w:rFonts w:ascii="Times New Roman" w:hAnsi="Times New Roman"/>
          <w:sz w:val="28"/>
          <w:szCs w:val="28"/>
          <w:lang w:val="es-CO"/>
        </w:rPr>
        <w:t>debido proceso. A su vez, indica</w:t>
      </w:r>
      <w:r w:rsidR="00AC1E46" w:rsidRPr="00CD542C">
        <w:rPr>
          <w:rFonts w:ascii="Times New Roman" w:hAnsi="Times New Roman"/>
          <w:sz w:val="28"/>
          <w:szCs w:val="28"/>
          <w:lang w:val="es-CO"/>
        </w:rPr>
        <w:t xml:space="preserve"> q</w:t>
      </w:r>
      <w:r w:rsidR="00B27BA6" w:rsidRPr="00CD542C">
        <w:rPr>
          <w:rFonts w:ascii="Times New Roman" w:hAnsi="Times New Roman"/>
          <w:sz w:val="28"/>
          <w:szCs w:val="28"/>
          <w:lang w:val="es-CO"/>
        </w:rPr>
        <w:t>ue la disposición busca quitar</w:t>
      </w:r>
      <w:r w:rsidR="00AC1E46" w:rsidRPr="00CD542C">
        <w:rPr>
          <w:rFonts w:ascii="Times New Roman" w:hAnsi="Times New Roman"/>
          <w:sz w:val="28"/>
          <w:szCs w:val="28"/>
          <w:lang w:val="es-CO"/>
        </w:rPr>
        <w:t xml:space="preserve"> una carga a la mujer, quien no siempre puede denunciar los actos de violencia que han sido perpetrados en su contra.</w:t>
      </w:r>
    </w:p>
    <w:p w:rsidR="00DF0AE9" w:rsidRPr="00CD542C" w:rsidRDefault="00DF0AE9" w:rsidP="00CD542C">
      <w:pPr>
        <w:spacing w:after="0" w:line="240" w:lineRule="auto"/>
        <w:jc w:val="both"/>
        <w:rPr>
          <w:rFonts w:ascii="Times New Roman" w:hAnsi="Times New Roman"/>
          <w:b/>
          <w:sz w:val="28"/>
          <w:szCs w:val="28"/>
          <w:lang w:eastAsia="es-ES"/>
        </w:rPr>
      </w:pPr>
    </w:p>
    <w:p w:rsidR="00667FC5" w:rsidRPr="00CD542C" w:rsidRDefault="00667FC5" w:rsidP="00CD542C">
      <w:pPr>
        <w:spacing w:after="0" w:line="240" w:lineRule="auto"/>
        <w:jc w:val="both"/>
        <w:rPr>
          <w:rFonts w:ascii="Times New Roman" w:hAnsi="Times New Roman"/>
          <w:b/>
          <w:i/>
          <w:sz w:val="28"/>
          <w:szCs w:val="28"/>
          <w:lang w:eastAsia="es-ES"/>
        </w:rPr>
      </w:pPr>
      <w:r w:rsidRPr="00CD542C">
        <w:rPr>
          <w:rFonts w:ascii="Times New Roman" w:hAnsi="Times New Roman"/>
          <w:b/>
          <w:i/>
          <w:sz w:val="28"/>
          <w:szCs w:val="28"/>
          <w:lang w:eastAsia="es-ES"/>
        </w:rPr>
        <w:t>Alcance de la norma demandada</w:t>
      </w:r>
    </w:p>
    <w:p w:rsidR="00667FC5" w:rsidRPr="00CD542C" w:rsidRDefault="00667FC5" w:rsidP="00CD542C">
      <w:pPr>
        <w:spacing w:after="0" w:line="240" w:lineRule="auto"/>
        <w:jc w:val="both"/>
        <w:rPr>
          <w:rFonts w:ascii="Times New Roman" w:hAnsi="Times New Roman"/>
          <w:sz w:val="28"/>
          <w:szCs w:val="28"/>
          <w:lang w:eastAsia="es-ES"/>
        </w:rPr>
      </w:pPr>
    </w:p>
    <w:p w:rsidR="009532DD" w:rsidRPr="00CD542C" w:rsidRDefault="00DF0AE9"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6</w:t>
      </w:r>
      <w:r w:rsidR="00667FC5" w:rsidRPr="00CD542C">
        <w:rPr>
          <w:rFonts w:ascii="Times New Roman" w:hAnsi="Times New Roman"/>
          <w:sz w:val="28"/>
          <w:szCs w:val="28"/>
          <w:lang w:eastAsia="es-ES"/>
        </w:rPr>
        <w:t xml:space="preserve">. La Corte Constitucional considera que antes de determinar el problema jurídico </w:t>
      </w:r>
      <w:r w:rsidR="00B27BA6" w:rsidRPr="00CD542C">
        <w:rPr>
          <w:rFonts w:ascii="Times New Roman" w:hAnsi="Times New Roman"/>
          <w:sz w:val="28"/>
          <w:szCs w:val="28"/>
          <w:lang w:eastAsia="es-ES"/>
        </w:rPr>
        <w:t>que plantea la demanda</w:t>
      </w:r>
      <w:r w:rsidR="00667FC5" w:rsidRPr="00CD542C">
        <w:rPr>
          <w:rFonts w:ascii="Times New Roman" w:hAnsi="Times New Roman"/>
          <w:sz w:val="28"/>
          <w:szCs w:val="28"/>
          <w:lang w:eastAsia="es-ES"/>
        </w:rPr>
        <w:t xml:space="preserve">, es necesario establecer el </w:t>
      </w:r>
      <w:r w:rsidR="00667FC5" w:rsidRPr="00CD542C">
        <w:rPr>
          <w:rFonts w:ascii="Times New Roman" w:hAnsi="Times New Roman"/>
          <w:b/>
          <w:i/>
          <w:sz w:val="28"/>
          <w:szCs w:val="28"/>
          <w:lang w:eastAsia="es-ES"/>
        </w:rPr>
        <w:t>al</w:t>
      </w:r>
      <w:r w:rsidR="00943F38" w:rsidRPr="00CD542C">
        <w:rPr>
          <w:rFonts w:ascii="Times New Roman" w:hAnsi="Times New Roman"/>
          <w:b/>
          <w:i/>
          <w:sz w:val="28"/>
          <w:szCs w:val="28"/>
          <w:lang w:eastAsia="es-ES"/>
        </w:rPr>
        <w:t>cance de la norma</w:t>
      </w:r>
      <w:r w:rsidR="00943F38" w:rsidRPr="00CD542C">
        <w:rPr>
          <w:rFonts w:ascii="Times New Roman" w:hAnsi="Times New Roman"/>
          <w:sz w:val="28"/>
          <w:szCs w:val="28"/>
          <w:lang w:eastAsia="es-ES"/>
        </w:rPr>
        <w:t xml:space="preserve"> </w:t>
      </w:r>
      <w:r w:rsidR="00943F38" w:rsidRPr="00CD542C">
        <w:rPr>
          <w:rFonts w:ascii="Times New Roman" w:hAnsi="Times New Roman"/>
          <w:b/>
          <w:i/>
          <w:sz w:val="28"/>
          <w:szCs w:val="28"/>
          <w:lang w:eastAsia="es-ES"/>
        </w:rPr>
        <w:t>acusada</w:t>
      </w:r>
      <w:r w:rsidR="00943F38" w:rsidRPr="00CD542C">
        <w:rPr>
          <w:rFonts w:ascii="Times New Roman" w:hAnsi="Times New Roman"/>
          <w:sz w:val="28"/>
          <w:szCs w:val="28"/>
          <w:lang w:eastAsia="es-ES"/>
        </w:rPr>
        <w:t xml:space="preserve"> porque,</w:t>
      </w:r>
      <w:r w:rsidR="00BA2DE7" w:rsidRPr="00CD542C">
        <w:rPr>
          <w:rFonts w:ascii="Times New Roman" w:hAnsi="Times New Roman"/>
          <w:sz w:val="28"/>
          <w:szCs w:val="28"/>
          <w:lang w:eastAsia="es-ES"/>
        </w:rPr>
        <w:t xml:space="preserve"> además de determinar</w:t>
      </w:r>
      <w:r w:rsidR="008D3B6F" w:rsidRPr="00CD542C">
        <w:rPr>
          <w:rFonts w:ascii="Times New Roman" w:hAnsi="Times New Roman"/>
          <w:sz w:val="28"/>
          <w:szCs w:val="28"/>
          <w:lang w:eastAsia="es-ES"/>
        </w:rPr>
        <w:t xml:space="preserve"> el ámbito de la revisión constitucional,</w:t>
      </w:r>
      <w:r w:rsidR="00943F38" w:rsidRPr="00CD542C">
        <w:rPr>
          <w:rFonts w:ascii="Times New Roman" w:hAnsi="Times New Roman"/>
          <w:sz w:val="28"/>
          <w:szCs w:val="28"/>
          <w:lang w:eastAsia="es-ES"/>
        </w:rPr>
        <w:t xml:space="preserve"> como lo indica la Procuraduría, la n</w:t>
      </w:r>
      <w:r w:rsidR="008D3B6F" w:rsidRPr="00CD542C">
        <w:rPr>
          <w:rFonts w:ascii="Times New Roman" w:hAnsi="Times New Roman"/>
          <w:sz w:val="28"/>
          <w:szCs w:val="28"/>
          <w:lang w:eastAsia="es-ES"/>
        </w:rPr>
        <w:t>orma admite diferentes lecturas</w:t>
      </w:r>
      <w:r w:rsidR="00B27BA6" w:rsidRPr="00CD542C">
        <w:rPr>
          <w:rFonts w:ascii="Times New Roman" w:hAnsi="Times New Roman"/>
          <w:sz w:val="28"/>
          <w:szCs w:val="28"/>
          <w:lang w:eastAsia="es-ES"/>
        </w:rPr>
        <w:t xml:space="preserve"> posibles</w:t>
      </w:r>
      <w:r w:rsidR="008D3B6F" w:rsidRPr="00CD542C">
        <w:rPr>
          <w:rFonts w:ascii="Times New Roman" w:hAnsi="Times New Roman"/>
          <w:sz w:val="28"/>
          <w:szCs w:val="28"/>
          <w:lang w:eastAsia="es-ES"/>
        </w:rPr>
        <w:t xml:space="preserve">. </w:t>
      </w:r>
    </w:p>
    <w:p w:rsidR="00C53773" w:rsidRPr="00CD542C" w:rsidRDefault="00C53773" w:rsidP="00CD542C">
      <w:pPr>
        <w:spacing w:after="0" w:line="240" w:lineRule="auto"/>
        <w:jc w:val="both"/>
        <w:rPr>
          <w:rFonts w:ascii="Times New Roman" w:hAnsi="Times New Roman"/>
          <w:sz w:val="28"/>
          <w:szCs w:val="28"/>
          <w:lang w:eastAsia="es-ES"/>
        </w:rPr>
      </w:pPr>
    </w:p>
    <w:p w:rsidR="00C53773" w:rsidRPr="00CD542C" w:rsidRDefault="0058721C" w:rsidP="00CD542C">
      <w:pPr>
        <w:spacing w:after="0" w:line="240" w:lineRule="auto"/>
        <w:jc w:val="both"/>
        <w:rPr>
          <w:rFonts w:ascii="Times New Roman" w:hAnsi="Times New Roman"/>
          <w:sz w:val="28"/>
          <w:szCs w:val="28"/>
        </w:rPr>
      </w:pPr>
      <w:r w:rsidRPr="00CD542C">
        <w:rPr>
          <w:rFonts w:ascii="Times New Roman" w:hAnsi="Times New Roman"/>
          <w:sz w:val="28"/>
          <w:szCs w:val="28"/>
          <w:bdr w:val="none" w:sz="0" w:space="0" w:color="auto" w:frame="1"/>
          <w:lang w:val="es-CO" w:eastAsia="es-ES"/>
        </w:rPr>
        <w:t xml:space="preserve">7. </w:t>
      </w:r>
      <w:r w:rsidR="00C53773" w:rsidRPr="00CD542C">
        <w:rPr>
          <w:rFonts w:ascii="Times New Roman" w:hAnsi="Times New Roman"/>
          <w:sz w:val="28"/>
          <w:szCs w:val="28"/>
          <w:bdr w:val="none" w:sz="0" w:space="0" w:color="auto" w:frame="1"/>
          <w:lang w:val="es-CO" w:eastAsia="es-ES"/>
        </w:rPr>
        <w:t>De manera general, la norma penal está constituida por dos elementos: (i) el precepto (</w:t>
      </w:r>
      <w:r w:rsidR="00C53773" w:rsidRPr="00CD542C">
        <w:rPr>
          <w:rFonts w:ascii="Times New Roman" w:hAnsi="Times New Roman"/>
          <w:b/>
          <w:bCs/>
          <w:i/>
          <w:iCs/>
          <w:sz w:val="28"/>
          <w:szCs w:val="28"/>
          <w:bdr w:val="none" w:sz="0" w:space="0" w:color="auto" w:frame="1"/>
          <w:lang w:val="es-CO" w:eastAsia="es-ES"/>
        </w:rPr>
        <w:t>praeceptum legis</w:t>
      </w:r>
      <w:r w:rsidR="00C53773" w:rsidRPr="00CD542C">
        <w:rPr>
          <w:rFonts w:ascii="Times New Roman" w:hAnsi="Times New Roman"/>
          <w:sz w:val="28"/>
          <w:szCs w:val="28"/>
          <w:bdr w:val="none" w:sz="0" w:space="0" w:color="auto" w:frame="1"/>
          <w:lang w:val="es-CO" w:eastAsia="es-ES"/>
        </w:rPr>
        <w:t>) y (ii) la sanción (</w:t>
      </w:r>
      <w:r w:rsidR="00C53773" w:rsidRPr="00CD542C">
        <w:rPr>
          <w:rFonts w:ascii="Times New Roman" w:hAnsi="Times New Roman"/>
          <w:b/>
          <w:bCs/>
          <w:i/>
          <w:iCs/>
          <w:sz w:val="28"/>
          <w:szCs w:val="28"/>
          <w:bdr w:val="none" w:sz="0" w:space="0" w:color="auto" w:frame="1"/>
          <w:lang w:val="es-CO" w:eastAsia="es-ES"/>
        </w:rPr>
        <w:t>sanctio legis</w:t>
      </w:r>
      <w:r w:rsidR="00C53773" w:rsidRPr="00CD542C">
        <w:rPr>
          <w:rFonts w:ascii="Times New Roman" w:hAnsi="Times New Roman"/>
          <w:sz w:val="28"/>
          <w:szCs w:val="28"/>
          <w:bdr w:val="none" w:sz="0" w:space="0" w:color="auto" w:frame="1"/>
          <w:lang w:val="es-CO" w:eastAsia="es-ES"/>
        </w:rPr>
        <w:t>). El primero de ellos, es entendido como “</w:t>
      </w:r>
      <w:r w:rsidR="00C53773" w:rsidRPr="00CD542C">
        <w:rPr>
          <w:rFonts w:ascii="Times New Roman" w:hAnsi="Times New Roman"/>
          <w:i/>
          <w:sz w:val="28"/>
          <w:szCs w:val="28"/>
          <w:bdr w:val="none" w:sz="0" w:space="0" w:color="auto" w:frame="1"/>
          <w:lang w:val="es-CO" w:eastAsia="es-ES"/>
        </w:rPr>
        <w:t>la orden de observar un determinado comportamiento, es decir de no realizar algo o de cumplir determinada acción</w:t>
      </w:r>
      <w:r w:rsidR="00C53773" w:rsidRPr="00CD542C">
        <w:rPr>
          <w:rFonts w:ascii="Times New Roman" w:hAnsi="Times New Roman"/>
          <w:sz w:val="28"/>
          <w:szCs w:val="28"/>
          <w:bdr w:val="none" w:sz="0" w:space="0" w:color="auto" w:frame="1"/>
          <w:lang w:val="es-CO" w:eastAsia="es-ES"/>
        </w:rPr>
        <w:t>”. El segundo</w:t>
      </w:r>
      <w:r w:rsidR="00B27BA6" w:rsidRPr="00CD542C">
        <w:rPr>
          <w:rFonts w:ascii="Times New Roman" w:hAnsi="Times New Roman"/>
          <w:sz w:val="28"/>
          <w:szCs w:val="28"/>
          <w:bdr w:val="none" w:sz="0" w:space="0" w:color="auto" w:frame="1"/>
          <w:lang w:val="es-CO" w:eastAsia="es-ES"/>
        </w:rPr>
        <w:t>,</w:t>
      </w:r>
      <w:r w:rsidR="00C53773" w:rsidRPr="00CD542C">
        <w:rPr>
          <w:rFonts w:ascii="Times New Roman" w:hAnsi="Times New Roman"/>
          <w:sz w:val="28"/>
          <w:szCs w:val="28"/>
          <w:bdr w:val="none" w:sz="0" w:space="0" w:color="auto" w:frame="1"/>
          <w:lang w:val="es-CO" w:eastAsia="es-ES"/>
        </w:rPr>
        <w:t xml:space="preserve"> se refiere a “</w:t>
      </w:r>
      <w:r w:rsidR="00C53773" w:rsidRPr="00CD542C">
        <w:rPr>
          <w:rFonts w:ascii="Times New Roman" w:hAnsi="Times New Roman"/>
          <w:i/>
          <w:sz w:val="28"/>
          <w:szCs w:val="28"/>
          <w:bdr w:val="none" w:sz="0" w:space="0" w:color="auto" w:frame="1"/>
          <w:lang w:val="es-CO" w:eastAsia="es-ES"/>
        </w:rPr>
        <w:t>la consecuencia jurídica que debe seguir a la infracción del precepto</w:t>
      </w:r>
      <w:r w:rsidR="00C53773" w:rsidRPr="00CD542C">
        <w:rPr>
          <w:rFonts w:ascii="Times New Roman" w:hAnsi="Times New Roman"/>
          <w:sz w:val="28"/>
          <w:szCs w:val="28"/>
          <w:bdr w:val="none" w:sz="0" w:space="0" w:color="auto" w:frame="1"/>
          <w:lang w:val="es-CO" w:eastAsia="es-ES"/>
        </w:rPr>
        <w:t>”</w:t>
      </w:r>
      <w:r w:rsidR="00C53773" w:rsidRPr="00CD542C">
        <w:rPr>
          <w:rFonts w:ascii="Times New Roman" w:hAnsi="Times New Roman"/>
          <w:sz w:val="28"/>
          <w:szCs w:val="28"/>
          <w:bdr w:val="none" w:sz="0" w:space="0" w:color="auto" w:frame="1"/>
          <w:vertAlign w:val="superscript"/>
          <w:lang w:val="es-CO" w:eastAsia="es-ES"/>
        </w:rPr>
        <w:footnoteReference w:id="16"/>
      </w:r>
      <w:r w:rsidR="00C53773" w:rsidRPr="00CD542C">
        <w:rPr>
          <w:rFonts w:ascii="Times New Roman" w:hAnsi="Times New Roman"/>
          <w:sz w:val="28"/>
          <w:szCs w:val="28"/>
          <w:bdr w:val="none" w:sz="0" w:space="0" w:color="auto" w:frame="1"/>
          <w:lang w:val="es-CO" w:eastAsia="es-ES"/>
        </w:rPr>
        <w:t>.</w:t>
      </w:r>
    </w:p>
    <w:p w:rsidR="00C53773" w:rsidRPr="00CD542C" w:rsidRDefault="00C53773" w:rsidP="00CD542C">
      <w:pPr>
        <w:shd w:val="clear" w:color="auto" w:fill="FFFFFF"/>
        <w:spacing w:after="0" w:line="240" w:lineRule="auto"/>
        <w:ind w:right="51"/>
        <w:jc w:val="both"/>
        <w:textAlignment w:val="baseline"/>
        <w:rPr>
          <w:rFonts w:ascii="Times New Roman" w:hAnsi="Times New Roman"/>
          <w:sz w:val="28"/>
          <w:szCs w:val="28"/>
          <w:lang w:eastAsia="es-ES"/>
        </w:rPr>
      </w:pPr>
    </w:p>
    <w:p w:rsidR="00C53773" w:rsidRPr="00CD542C" w:rsidRDefault="00B27BA6" w:rsidP="00CD542C">
      <w:pPr>
        <w:shd w:val="clear" w:color="auto" w:fill="FFFFFF"/>
        <w:spacing w:after="0" w:line="240" w:lineRule="auto"/>
        <w:ind w:right="51"/>
        <w:jc w:val="both"/>
        <w:textAlignment w:val="baseline"/>
        <w:rPr>
          <w:rFonts w:ascii="Times New Roman" w:hAnsi="Times New Roman"/>
          <w:sz w:val="28"/>
          <w:szCs w:val="28"/>
          <w:lang w:eastAsia="es-ES"/>
        </w:rPr>
      </w:pPr>
      <w:r w:rsidRPr="00CD542C">
        <w:rPr>
          <w:rFonts w:ascii="Times New Roman" w:hAnsi="Times New Roman"/>
          <w:sz w:val="28"/>
          <w:szCs w:val="28"/>
          <w:bdr w:val="none" w:sz="0" w:space="0" w:color="auto" w:frame="1"/>
          <w:lang w:val="es-CO" w:eastAsia="es-ES"/>
        </w:rPr>
        <w:t>El precepto desarrolla</w:t>
      </w:r>
      <w:r w:rsidR="00C53773" w:rsidRPr="00CD542C">
        <w:rPr>
          <w:rFonts w:ascii="Times New Roman" w:hAnsi="Times New Roman"/>
          <w:sz w:val="28"/>
          <w:szCs w:val="28"/>
          <w:bdr w:val="none" w:sz="0" w:space="0" w:color="auto" w:frame="1"/>
          <w:lang w:val="es-CO" w:eastAsia="es-ES"/>
        </w:rPr>
        <w:t xml:space="preserve"> la tipicidad d</w:t>
      </w:r>
      <w:r w:rsidRPr="00CD542C">
        <w:rPr>
          <w:rFonts w:ascii="Times New Roman" w:hAnsi="Times New Roman"/>
          <w:sz w:val="28"/>
          <w:szCs w:val="28"/>
          <w:bdr w:val="none" w:sz="0" w:space="0" w:color="auto" w:frame="1"/>
          <w:lang w:val="es-CO" w:eastAsia="es-ES"/>
        </w:rPr>
        <w:t>e hecho punible, pues e</w:t>
      </w:r>
      <w:r w:rsidR="00C53773" w:rsidRPr="00CD542C">
        <w:rPr>
          <w:rFonts w:ascii="Times New Roman" w:hAnsi="Times New Roman"/>
          <w:sz w:val="28"/>
          <w:szCs w:val="28"/>
          <w:bdr w:val="none" w:sz="0" w:space="0" w:color="auto" w:frame="1"/>
          <w:lang w:val="es-CO" w:eastAsia="es-ES"/>
        </w:rPr>
        <w:t>ste</w:t>
      </w:r>
      <w:r w:rsidR="00D607B0" w:rsidRPr="00CD542C">
        <w:rPr>
          <w:rFonts w:ascii="Times New Roman" w:hAnsi="Times New Roman"/>
          <w:sz w:val="28"/>
          <w:szCs w:val="28"/>
          <w:bdr w:val="none" w:sz="0" w:space="0" w:color="auto" w:frame="1"/>
          <w:lang w:val="es-CO" w:eastAsia="es-ES"/>
        </w:rPr>
        <w:t xml:space="preserve"> elemento es</w:t>
      </w:r>
      <w:r w:rsidR="00C53773" w:rsidRPr="00CD542C">
        <w:rPr>
          <w:rFonts w:ascii="Times New Roman" w:hAnsi="Times New Roman"/>
          <w:sz w:val="28"/>
          <w:szCs w:val="28"/>
          <w:bdr w:val="none" w:sz="0" w:space="0" w:color="auto" w:frame="1"/>
          <w:lang w:val="es-CO" w:eastAsia="es-ES"/>
        </w:rPr>
        <w:t xml:space="preserve"> el que contiene la descripción de lo que se debe hacer o no hacer, y, por lo tanto</w:t>
      </w:r>
      <w:r w:rsidR="00D607B0" w:rsidRPr="00CD542C">
        <w:rPr>
          <w:rFonts w:ascii="Times New Roman" w:hAnsi="Times New Roman"/>
          <w:sz w:val="28"/>
          <w:szCs w:val="28"/>
          <w:bdr w:val="none" w:sz="0" w:space="0" w:color="auto" w:frame="1"/>
          <w:lang w:val="es-CO" w:eastAsia="es-ES"/>
        </w:rPr>
        <w:t>,</w:t>
      </w:r>
      <w:r w:rsidR="00C53773" w:rsidRPr="00CD542C">
        <w:rPr>
          <w:rFonts w:ascii="Times New Roman" w:hAnsi="Times New Roman"/>
          <w:sz w:val="28"/>
          <w:szCs w:val="28"/>
          <w:bdr w:val="none" w:sz="0" w:space="0" w:color="auto" w:frame="1"/>
          <w:lang w:val="es-CO" w:eastAsia="es-ES"/>
        </w:rPr>
        <w:t xml:space="preserve"> del hecho</w:t>
      </w:r>
      <w:r w:rsidR="00D607B0" w:rsidRPr="00CD542C">
        <w:rPr>
          <w:rFonts w:ascii="Times New Roman" w:hAnsi="Times New Roman"/>
          <w:sz w:val="28"/>
          <w:szCs w:val="28"/>
          <w:bdr w:val="none" w:sz="0" w:space="0" w:color="auto" w:frame="1"/>
          <w:lang w:val="es-CO" w:eastAsia="es-ES"/>
        </w:rPr>
        <w:t xml:space="preserve"> constitutivo de la conducta reprochable</w:t>
      </w:r>
      <w:r w:rsidR="00C53773" w:rsidRPr="00CD542C">
        <w:rPr>
          <w:rFonts w:ascii="Times New Roman" w:hAnsi="Times New Roman"/>
          <w:sz w:val="28"/>
          <w:szCs w:val="28"/>
          <w:bdr w:val="none" w:sz="0" w:space="0" w:color="auto" w:frame="1"/>
          <w:lang w:val="es-CO" w:eastAsia="es-ES"/>
        </w:rPr>
        <w:t>. Ahora bien, e</w:t>
      </w:r>
      <w:r w:rsidR="00C53773" w:rsidRPr="00CD542C">
        <w:rPr>
          <w:rFonts w:ascii="Times New Roman" w:hAnsi="Times New Roman"/>
          <w:sz w:val="28"/>
          <w:szCs w:val="28"/>
          <w:bdr w:val="none" w:sz="0" w:space="0" w:color="auto" w:frame="1"/>
          <w:lang w:val="es-ES_tradnl" w:eastAsia="es-ES"/>
        </w:rPr>
        <w:t>l precepto se integra por varios elementos del tipo que conforman su estructura y que pueden ser sintetizados así: </w:t>
      </w:r>
      <w:r w:rsidR="00C53773" w:rsidRPr="00CD542C">
        <w:rPr>
          <w:rFonts w:ascii="Times New Roman" w:hAnsi="Times New Roman"/>
          <w:i/>
          <w:sz w:val="28"/>
          <w:szCs w:val="28"/>
          <w:bdr w:val="none" w:sz="0" w:space="0" w:color="auto" w:frame="1"/>
          <w:lang w:val="es-ES_tradnl" w:eastAsia="es-ES"/>
        </w:rPr>
        <w:t>“</w:t>
      </w:r>
      <w:r w:rsidR="00C53773" w:rsidRPr="00CD542C">
        <w:rPr>
          <w:rFonts w:ascii="Times New Roman" w:hAnsi="Times New Roman"/>
          <w:b/>
          <w:bCs/>
          <w:i/>
          <w:iCs/>
          <w:sz w:val="28"/>
          <w:szCs w:val="28"/>
          <w:bdr w:val="none" w:sz="0" w:space="0" w:color="auto" w:frame="1"/>
          <w:lang w:val="es-ES_tradnl" w:eastAsia="es-ES"/>
        </w:rPr>
        <w:t>(i)</w:t>
      </w:r>
      <w:r w:rsidR="00C53773" w:rsidRPr="00CD542C">
        <w:rPr>
          <w:rFonts w:ascii="Times New Roman" w:hAnsi="Times New Roman"/>
          <w:i/>
          <w:sz w:val="28"/>
          <w:szCs w:val="28"/>
          <w:bdr w:val="none" w:sz="0" w:space="0" w:color="auto" w:frame="1"/>
          <w:lang w:val="es-ES_tradnl" w:eastAsia="es-ES"/>
        </w:rPr>
        <w:t> </w:t>
      </w:r>
      <w:r w:rsidR="00C53773" w:rsidRPr="00CD542C">
        <w:rPr>
          <w:rFonts w:ascii="Times New Roman" w:hAnsi="Times New Roman"/>
          <w:i/>
          <w:iCs/>
          <w:sz w:val="28"/>
          <w:szCs w:val="28"/>
          <w:bdr w:val="none" w:sz="0" w:space="0" w:color="auto" w:frame="1"/>
          <w:lang w:val="es-ES_tradnl" w:eastAsia="es-ES"/>
        </w:rPr>
        <w:t>un sujeto activo</w:t>
      </w:r>
      <w:r w:rsidR="00C53773" w:rsidRPr="00CD542C">
        <w:rPr>
          <w:rFonts w:ascii="Times New Roman" w:hAnsi="Times New Roman"/>
          <w:i/>
          <w:sz w:val="28"/>
          <w:szCs w:val="28"/>
          <w:bdr w:val="none" w:sz="0" w:space="0" w:color="auto" w:frame="1"/>
          <w:lang w:val="es-ES_tradnl" w:eastAsia="es-ES"/>
        </w:rPr>
        <w:t>, que es quien ejecuta la conducta reprochable y punible; </w:t>
      </w:r>
      <w:r w:rsidR="00C53773" w:rsidRPr="00CD542C">
        <w:rPr>
          <w:rFonts w:ascii="Times New Roman" w:hAnsi="Times New Roman"/>
          <w:b/>
          <w:bCs/>
          <w:i/>
          <w:iCs/>
          <w:sz w:val="28"/>
          <w:szCs w:val="28"/>
          <w:bdr w:val="none" w:sz="0" w:space="0" w:color="auto" w:frame="1"/>
          <w:lang w:val="es-ES_tradnl" w:eastAsia="es-ES"/>
        </w:rPr>
        <w:t>(ii)</w:t>
      </w:r>
      <w:r w:rsidR="00C53773" w:rsidRPr="00CD542C">
        <w:rPr>
          <w:rFonts w:ascii="Times New Roman" w:hAnsi="Times New Roman"/>
          <w:i/>
          <w:sz w:val="28"/>
          <w:szCs w:val="28"/>
          <w:bdr w:val="none" w:sz="0" w:space="0" w:color="auto" w:frame="1"/>
          <w:lang w:val="es-ES_tradnl" w:eastAsia="es-ES"/>
        </w:rPr>
        <w:t> </w:t>
      </w:r>
      <w:r w:rsidR="00C53773" w:rsidRPr="00CD542C">
        <w:rPr>
          <w:rFonts w:ascii="Times New Roman" w:hAnsi="Times New Roman"/>
          <w:i/>
          <w:iCs/>
          <w:sz w:val="28"/>
          <w:szCs w:val="28"/>
          <w:bdr w:val="none" w:sz="0" w:space="0" w:color="auto" w:frame="1"/>
          <w:lang w:val="es-ES_tradnl" w:eastAsia="es-ES"/>
        </w:rPr>
        <w:t>un sujeto</w:t>
      </w:r>
      <w:r w:rsidR="00C53773" w:rsidRPr="00CD542C">
        <w:rPr>
          <w:rFonts w:ascii="Times New Roman" w:hAnsi="Times New Roman"/>
          <w:i/>
          <w:sz w:val="28"/>
          <w:szCs w:val="28"/>
          <w:bdr w:val="none" w:sz="0" w:space="0" w:color="auto" w:frame="1"/>
          <w:lang w:val="es-ES_tradnl" w:eastAsia="es-ES"/>
        </w:rPr>
        <w:t> </w:t>
      </w:r>
      <w:r w:rsidR="00C53773" w:rsidRPr="00CD542C">
        <w:rPr>
          <w:rFonts w:ascii="Times New Roman" w:hAnsi="Times New Roman"/>
          <w:i/>
          <w:iCs/>
          <w:sz w:val="28"/>
          <w:szCs w:val="28"/>
          <w:bdr w:val="none" w:sz="0" w:space="0" w:color="auto" w:frame="1"/>
          <w:lang w:val="es-ES_tradnl" w:eastAsia="es-ES"/>
        </w:rPr>
        <w:t>pasivo</w:t>
      </w:r>
      <w:r w:rsidR="00C53773" w:rsidRPr="00CD542C">
        <w:rPr>
          <w:rFonts w:ascii="Times New Roman" w:hAnsi="Times New Roman"/>
          <w:i/>
          <w:sz w:val="28"/>
          <w:szCs w:val="28"/>
          <w:bdr w:val="none" w:sz="0" w:space="0" w:color="auto" w:frame="1"/>
          <w:lang w:val="es-ES_tradnl" w:eastAsia="es-ES"/>
        </w:rPr>
        <w:t>, que es el titular del bien jurídico que el legislador busca proteger y que resulta afectado con la conducta del sujeto activo</w:t>
      </w:r>
      <w:r w:rsidR="00C53773" w:rsidRPr="00CD542C">
        <w:rPr>
          <w:rFonts w:ascii="Times New Roman" w:hAnsi="Times New Roman"/>
          <w:i/>
          <w:iCs/>
          <w:sz w:val="28"/>
          <w:szCs w:val="28"/>
          <w:bdr w:val="none" w:sz="0" w:space="0" w:color="auto" w:frame="1"/>
          <w:lang w:val="es-ES_tradnl" w:eastAsia="es-ES"/>
        </w:rPr>
        <w:t>; </w:t>
      </w:r>
      <w:r w:rsidR="00C53773" w:rsidRPr="00CD542C">
        <w:rPr>
          <w:rFonts w:ascii="Times New Roman" w:hAnsi="Times New Roman"/>
          <w:b/>
          <w:bCs/>
          <w:i/>
          <w:iCs/>
          <w:sz w:val="28"/>
          <w:szCs w:val="28"/>
          <w:bdr w:val="none" w:sz="0" w:space="0" w:color="auto" w:frame="1"/>
          <w:lang w:val="es-ES_tradnl" w:eastAsia="es-ES"/>
        </w:rPr>
        <w:t>(iii)</w:t>
      </w:r>
      <w:r w:rsidR="00C53773" w:rsidRPr="00CD542C">
        <w:rPr>
          <w:rFonts w:ascii="Times New Roman" w:hAnsi="Times New Roman"/>
          <w:i/>
          <w:iCs/>
          <w:sz w:val="28"/>
          <w:szCs w:val="28"/>
          <w:bdr w:val="none" w:sz="0" w:space="0" w:color="auto" w:frame="1"/>
          <w:lang w:val="es-ES_tradnl" w:eastAsia="es-ES"/>
        </w:rPr>
        <w:t> una conducta</w:t>
      </w:r>
      <w:r w:rsidR="00C53773" w:rsidRPr="00CD542C">
        <w:rPr>
          <w:rFonts w:ascii="Times New Roman" w:hAnsi="Times New Roman"/>
          <w:i/>
          <w:sz w:val="28"/>
          <w:szCs w:val="28"/>
          <w:bdr w:val="none" w:sz="0" w:space="0" w:color="auto" w:frame="1"/>
          <w:lang w:val="es-ES_tradnl" w:eastAsia="es-ES"/>
        </w:rPr>
        <w:t>, que corresponde al comportamiento de acción o de omisión cuya realización se acomoda a la descripción del tipo y que generalmente se identifica con un verbo rector; y </w:t>
      </w:r>
      <w:r w:rsidR="00C53773" w:rsidRPr="00CD542C">
        <w:rPr>
          <w:rFonts w:ascii="Times New Roman" w:hAnsi="Times New Roman"/>
          <w:b/>
          <w:bCs/>
          <w:i/>
          <w:iCs/>
          <w:sz w:val="28"/>
          <w:szCs w:val="28"/>
          <w:bdr w:val="none" w:sz="0" w:space="0" w:color="auto" w:frame="1"/>
          <w:lang w:val="es-ES_tradnl" w:eastAsia="es-ES"/>
        </w:rPr>
        <w:t>(iii)</w:t>
      </w:r>
      <w:r w:rsidR="00C53773" w:rsidRPr="00CD542C">
        <w:rPr>
          <w:rFonts w:ascii="Times New Roman" w:hAnsi="Times New Roman"/>
          <w:i/>
          <w:sz w:val="28"/>
          <w:szCs w:val="28"/>
          <w:bdr w:val="none" w:sz="0" w:space="0" w:color="auto" w:frame="1"/>
          <w:lang w:val="es-ES_tradnl" w:eastAsia="es-ES"/>
        </w:rPr>
        <w:t> </w:t>
      </w:r>
      <w:r w:rsidR="00C53773" w:rsidRPr="00CD542C">
        <w:rPr>
          <w:rFonts w:ascii="Times New Roman" w:hAnsi="Times New Roman"/>
          <w:i/>
          <w:iCs/>
          <w:sz w:val="28"/>
          <w:szCs w:val="28"/>
          <w:bdr w:val="none" w:sz="0" w:space="0" w:color="auto" w:frame="1"/>
          <w:lang w:val="es-ES_tradnl" w:eastAsia="es-ES"/>
        </w:rPr>
        <w:t>el objeto de doble entidad</w:t>
      </w:r>
      <w:r w:rsidR="00C53773" w:rsidRPr="00CD542C">
        <w:rPr>
          <w:rFonts w:ascii="Times New Roman" w:hAnsi="Times New Roman"/>
          <w:i/>
          <w:sz w:val="28"/>
          <w:szCs w:val="28"/>
          <w:bdr w:val="none" w:sz="0" w:space="0" w:color="auto" w:frame="1"/>
          <w:lang w:val="es-ES_tradnl" w:eastAsia="es-ES"/>
        </w:rPr>
        <w:t>;</w:t>
      </w:r>
      <w:r w:rsidR="00C53773" w:rsidRPr="00CD542C">
        <w:rPr>
          <w:rFonts w:ascii="Times New Roman" w:hAnsi="Times New Roman"/>
          <w:i/>
          <w:iCs/>
          <w:sz w:val="28"/>
          <w:szCs w:val="28"/>
          <w:bdr w:val="none" w:sz="0" w:space="0" w:color="auto" w:frame="1"/>
          <w:lang w:val="es-ES_tradnl" w:eastAsia="es-ES"/>
        </w:rPr>
        <w:t> jurídica,</w:t>
      </w:r>
      <w:r w:rsidR="00C53773" w:rsidRPr="00CD542C">
        <w:rPr>
          <w:rFonts w:ascii="Times New Roman" w:hAnsi="Times New Roman"/>
          <w:i/>
          <w:sz w:val="28"/>
          <w:szCs w:val="28"/>
          <w:bdr w:val="none" w:sz="0" w:space="0" w:color="auto" w:frame="1"/>
          <w:lang w:val="es-ES_tradnl" w:eastAsia="es-ES"/>
        </w:rPr>
        <w:t> en cuanto se refiere al interés que el Estado pretende proteger y que resulta vulnerado con la acción u omisión del sujeto activo, y </w:t>
      </w:r>
      <w:r w:rsidR="00C53773" w:rsidRPr="00CD542C">
        <w:rPr>
          <w:rFonts w:ascii="Times New Roman" w:hAnsi="Times New Roman"/>
          <w:i/>
          <w:iCs/>
          <w:sz w:val="28"/>
          <w:szCs w:val="28"/>
          <w:bdr w:val="none" w:sz="0" w:space="0" w:color="auto" w:frame="1"/>
          <w:lang w:val="es-ES_tradnl" w:eastAsia="es-ES"/>
        </w:rPr>
        <w:t>material,</w:t>
      </w:r>
      <w:r w:rsidR="00C53773" w:rsidRPr="00CD542C">
        <w:rPr>
          <w:rFonts w:ascii="Times New Roman" w:hAnsi="Times New Roman"/>
          <w:i/>
          <w:sz w:val="28"/>
          <w:szCs w:val="28"/>
          <w:bdr w:val="none" w:sz="0" w:space="0" w:color="auto" w:frame="1"/>
          <w:lang w:val="es-ES_tradnl" w:eastAsia="es-ES"/>
        </w:rPr>
        <w:t> que hace relación a aquello (persona o cosa) sobre lo cual se concreta la vulneración del interés jurídico tutelado y hacia el cual se orienta la conducta del agente</w:t>
      </w:r>
      <w:r w:rsidR="00C53773" w:rsidRPr="00CD542C">
        <w:rPr>
          <w:rFonts w:ascii="Times New Roman" w:hAnsi="Times New Roman"/>
          <w:sz w:val="28"/>
          <w:szCs w:val="28"/>
          <w:bdr w:val="none" w:sz="0" w:space="0" w:color="auto" w:frame="1"/>
          <w:lang w:val="es-ES_tradnl" w:eastAsia="es-ES"/>
        </w:rPr>
        <w:t>”</w:t>
      </w:r>
      <w:r w:rsidR="00C53773" w:rsidRPr="00CD542C">
        <w:rPr>
          <w:rFonts w:ascii="Times New Roman" w:hAnsi="Times New Roman"/>
          <w:sz w:val="28"/>
          <w:szCs w:val="28"/>
          <w:bdr w:val="none" w:sz="0" w:space="0" w:color="auto" w:frame="1"/>
          <w:vertAlign w:val="superscript"/>
          <w:lang w:val="es-ES_tradnl" w:eastAsia="es-ES"/>
        </w:rPr>
        <w:footnoteReference w:id="17"/>
      </w:r>
      <w:r w:rsidR="00C53773" w:rsidRPr="00CD542C">
        <w:rPr>
          <w:rFonts w:ascii="Times New Roman" w:hAnsi="Times New Roman"/>
          <w:sz w:val="28"/>
          <w:szCs w:val="28"/>
          <w:bdr w:val="none" w:sz="0" w:space="0" w:color="auto" w:frame="1"/>
          <w:lang w:val="es-ES_tradnl" w:eastAsia="es-ES"/>
        </w:rPr>
        <w:t xml:space="preserve">. </w:t>
      </w:r>
    </w:p>
    <w:p w:rsidR="00C53773" w:rsidRPr="00CD542C" w:rsidRDefault="00C53773" w:rsidP="00CD542C">
      <w:pPr>
        <w:shd w:val="clear" w:color="auto" w:fill="FFFFFF"/>
        <w:spacing w:after="0" w:line="240" w:lineRule="auto"/>
        <w:ind w:right="51"/>
        <w:jc w:val="both"/>
        <w:textAlignment w:val="baseline"/>
        <w:rPr>
          <w:rFonts w:ascii="Times New Roman" w:hAnsi="Times New Roman"/>
          <w:sz w:val="28"/>
          <w:szCs w:val="28"/>
          <w:bdr w:val="none" w:sz="0" w:space="0" w:color="auto" w:frame="1"/>
          <w:lang w:val="es-ES_tradnl" w:eastAsia="es-ES"/>
        </w:rPr>
      </w:pPr>
    </w:p>
    <w:p w:rsidR="00C53773" w:rsidRPr="00CD542C" w:rsidRDefault="00C53773" w:rsidP="00CD542C">
      <w:pPr>
        <w:shd w:val="clear" w:color="auto" w:fill="FFFFFF"/>
        <w:spacing w:after="0" w:line="240" w:lineRule="auto"/>
        <w:ind w:right="140"/>
        <w:jc w:val="both"/>
        <w:textAlignment w:val="baseline"/>
        <w:rPr>
          <w:rFonts w:ascii="Times New Roman" w:hAnsi="Times New Roman"/>
          <w:sz w:val="28"/>
          <w:szCs w:val="28"/>
          <w:lang w:eastAsia="es-ES"/>
        </w:rPr>
      </w:pPr>
      <w:r w:rsidRPr="00CD542C">
        <w:rPr>
          <w:rFonts w:ascii="Times New Roman" w:hAnsi="Times New Roman"/>
          <w:sz w:val="28"/>
          <w:szCs w:val="28"/>
          <w:bdr w:val="none" w:sz="0" w:space="0" w:color="auto" w:frame="1"/>
          <w:lang w:val="es-CO" w:eastAsia="es-ES"/>
        </w:rPr>
        <w:t>Así pues, la determinación de los tipos penales implica el señalamiento de los elementos que estructuran la conducta que da lugar a una sanción penal</w:t>
      </w:r>
      <w:r w:rsidRPr="00CD542C">
        <w:rPr>
          <w:rFonts w:ascii="Times New Roman" w:hAnsi="Times New Roman"/>
          <w:sz w:val="28"/>
          <w:szCs w:val="28"/>
          <w:bdr w:val="none" w:sz="0" w:space="0" w:color="auto" w:frame="1"/>
          <w:vertAlign w:val="superscript"/>
          <w:lang w:val="es-CO" w:eastAsia="es-ES"/>
        </w:rPr>
        <w:footnoteReference w:id="18"/>
      </w:r>
      <w:r w:rsidRPr="00CD542C">
        <w:rPr>
          <w:rFonts w:ascii="Times New Roman" w:hAnsi="Times New Roman"/>
          <w:sz w:val="28"/>
          <w:szCs w:val="28"/>
          <w:bdr w:val="none" w:sz="0" w:space="0" w:color="auto" w:frame="1"/>
          <w:lang w:val="es-CO" w:eastAsia="es-ES"/>
        </w:rPr>
        <w:t xml:space="preserve">. </w:t>
      </w:r>
      <w:r w:rsidRPr="00CD542C">
        <w:rPr>
          <w:rFonts w:ascii="Times New Roman" w:hAnsi="Times New Roman"/>
          <w:sz w:val="28"/>
          <w:szCs w:val="28"/>
          <w:lang w:eastAsia="es-ES"/>
        </w:rPr>
        <w:t xml:space="preserve"> </w:t>
      </w:r>
      <w:r w:rsidRPr="00CD542C">
        <w:rPr>
          <w:rFonts w:ascii="Times New Roman" w:hAnsi="Times New Roman"/>
          <w:sz w:val="28"/>
          <w:szCs w:val="28"/>
        </w:rPr>
        <w:t xml:space="preserve">A su vez, el hecho típico tiene un ingrediente objetivo que corresponde al aspecto externo de la conducta y, uno subjetivo, que se trata de un móvil que representa la libertad del agente que en algunos casos tiene elementos calificados como el ánimo o una intención particular. </w:t>
      </w:r>
    </w:p>
    <w:p w:rsidR="00C53773" w:rsidRPr="00CD542C" w:rsidRDefault="00C53773" w:rsidP="00CD542C">
      <w:pPr>
        <w:spacing w:after="0" w:line="240" w:lineRule="auto"/>
        <w:jc w:val="both"/>
        <w:rPr>
          <w:rFonts w:ascii="Times New Roman" w:hAnsi="Times New Roman"/>
          <w:sz w:val="28"/>
          <w:szCs w:val="28"/>
        </w:rPr>
      </w:pPr>
    </w:p>
    <w:p w:rsidR="00C53773" w:rsidRPr="00CD542C" w:rsidRDefault="000E29B0" w:rsidP="00CD542C">
      <w:pPr>
        <w:spacing w:after="0" w:line="240" w:lineRule="auto"/>
        <w:jc w:val="both"/>
        <w:rPr>
          <w:rFonts w:ascii="Times New Roman" w:hAnsi="Times New Roman"/>
          <w:sz w:val="28"/>
          <w:szCs w:val="28"/>
        </w:rPr>
      </w:pPr>
      <w:r w:rsidRPr="00CD542C">
        <w:rPr>
          <w:rFonts w:ascii="Times New Roman" w:hAnsi="Times New Roman"/>
          <w:sz w:val="28"/>
          <w:szCs w:val="28"/>
        </w:rPr>
        <w:t>8.</w:t>
      </w:r>
      <w:r w:rsidR="00C53773" w:rsidRPr="00CD542C">
        <w:rPr>
          <w:rFonts w:ascii="Times New Roman" w:hAnsi="Times New Roman"/>
          <w:sz w:val="28"/>
          <w:szCs w:val="28"/>
        </w:rPr>
        <w:t xml:space="preserve"> En </w:t>
      </w:r>
      <w:r w:rsidR="00D810ED" w:rsidRPr="00CD542C">
        <w:rPr>
          <w:rFonts w:ascii="Times New Roman" w:hAnsi="Times New Roman"/>
          <w:sz w:val="28"/>
          <w:szCs w:val="28"/>
        </w:rPr>
        <w:t>el tipo penal que es objeto de la demanda parcial</w:t>
      </w:r>
      <w:r w:rsidR="00C53773" w:rsidRPr="00CD542C">
        <w:rPr>
          <w:rFonts w:ascii="Times New Roman" w:hAnsi="Times New Roman"/>
          <w:sz w:val="28"/>
          <w:szCs w:val="28"/>
        </w:rPr>
        <w:t>, el sujeto activo se refiere a “quien” cause la muerte a una mujer, es decir, aquella persona que lleve a cabo la conduct</w:t>
      </w:r>
      <w:r w:rsidR="00D810ED" w:rsidRPr="00CD542C">
        <w:rPr>
          <w:rFonts w:ascii="Times New Roman" w:hAnsi="Times New Roman"/>
          <w:sz w:val="28"/>
          <w:szCs w:val="28"/>
        </w:rPr>
        <w:t>a no es calificada ni determinada por condiciones especiales</w:t>
      </w:r>
      <w:r w:rsidR="00C53773" w:rsidRPr="00CD542C">
        <w:rPr>
          <w:rFonts w:ascii="Times New Roman" w:hAnsi="Times New Roman"/>
          <w:sz w:val="28"/>
          <w:szCs w:val="28"/>
        </w:rPr>
        <w:t>. El sujeto pasivo es calificado, pues necesariamente se trata de una mujer o de una persona que se identifique en su género como tal.</w:t>
      </w:r>
    </w:p>
    <w:p w:rsidR="00C53773" w:rsidRPr="00CD542C" w:rsidRDefault="00C53773" w:rsidP="00CD542C">
      <w:pPr>
        <w:spacing w:after="0" w:line="240" w:lineRule="auto"/>
        <w:jc w:val="both"/>
        <w:rPr>
          <w:rFonts w:ascii="Times New Roman" w:hAnsi="Times New Roman"/>
          <w:sz w:val="28"/>
          <w:szCs w:val="28"/>
        </w:rPr>
      </w:pPr>
    </w:p>
    <w:p w:rsidR="00C53773" w:rsidRPr="00CD542C" w:rsidRDefault="00C53773" w:rsidP="00CD542C">
      <w:pPr>
        <w:spacing w:after="0" w:line="240" w:lineRule="auto"/>
        <w:jc w:val="both"/>
        <w:rPr>
          <w:rFonts w:ascii="Times New Roman" w:hAnsi="Times New Roman"/>
          <w:sz w:val="28"/>
          <w:szCs w:val="28"/>
        </w:rPr>
      </w:pPr>
      <w:r w:rsidRPr="00CD542C">
        <w:rPr>
          <w:rFonts w:ascii="Times New Roman" w:hAnsi="Times New Roman"/>
          <w:sz w:val="28"/>
          <w:szCs w:val="28"/>
        </w:rPr>
        <w:t>El objeto material del delito en sentido estricto se trata de la vida de la mujer o la persona identificada como mujer. Como lo señala la exposición de motivos de la</w:t>
      </w:r>
      <w:r w:rsidR="00D810ED" w:rsidRPr="00CD542C">
        <w:rPr>
          <w:rFonts w:ascii="Times New Roman" w:hAnsi="Times New Roman"/>
          <w:sz w:val="28"/>
          <w:szCs w:val="28"/>
        </w:rPr>
        <w:t xml:space="preserve"> ley, este es un tipo pluriofens</w:t>
      </w:r>
      <w:r w:rsidRPr="00CD542C">
        <w:rPr>
          <w:rFonts w:ascii="Times New Roman" w:hAnsi="Times New Roman"/>
          <w:sz w:val="28"/>
          <w:szCs w:val="28"/>
        </w:rPr>
        <w:t>ivo que busca proteger diversos bienes jurídicos, a saber: la vida, la integridad personal, la dignidad humana, la igualdad, la no discriminación y el libre desarrollo de la personalidad.</w:t>
      </w:r>
    </w:p>
    <w:p w:rsidR="00C53773" w:rsidRPr="00CD542C" w:rsidRDefault="00C53773" w:rsidP="00CD542C">
      <w:pPr>
        <w:spacing w:after="0" w:line="240" w:lineRule="auto"/>
        <w:jc w:val="both"/>
        <w:rPr>
          <w:rFonts w:ascii="Times New Roman" w:hAnsi="Times New Roman"/>
          <w:sz w:val="28"/>
          <w:szCs w:val="28"/>
        </w:rPr>
      </w:pPr>
    </w:p>
    <w:p w:rsidR="00C53773" w:rsidRPr="00CD542C" w:rsidRDefault="00C53773" w:rsidP="00CD542C">
      <w:pPr>
        <w:spacing w:after="0" w:line="240" w:lineRule="auto"/>
        <w:jc w:val="both"/>
        <w:rPr>
          <w:rFonts w:ascii="Times New Roman" w:hAnsi="Times New Roman"/>
          <w:sz w:val="28"/>
          <w:szCs w:val="28"/>
        </w:rPr>
      </w:pPr>
      <w:r w:rsidRPr="00CD542C">
        <w:rPr>
          <w:rFonts w:ascii="Times New Roman" w:hAnsi="Times New Roman"/>
          <w:sz w:val="28"/>
          <w:szCs w:val="28"/>
        </w:rPr>
        <w:t>La conducta corresponde a dar muerte a una mujer por el hecho de serlo, por lo tanto el verbo rector es matar a una mujer. No obstante, como lo advierte la exposición de motivos de la ley, este delito se diferencia del homicidio en el elemento subjetivo del tipo. Es decir, la conducta debe necesariamente estar motivada “</w:t>
      </w:r>
      <w:r w:rsidRPr="00CD542C">
        <w:rPr>
          <w:rFonts w:ascii="Times New Roman" w:hAnsi="Times New Roman"/>
          <w:i/>
          <w:iCs/>
          <w:sz w:val="28"/>
          <w:szCs w:val="28"/>
        </w:rPr>
        <w:t>por su condición de ser mujer o por motivos de su identidad de género</w:t>
      </w:r>
      <w:r w:rsidRPr="00CD542C">
        <w:rPr>
          <w:rFonts w:ascii="Times New Roman" w:hAnsi="Times New Roman"/>
          <w:sz w:val="28"/>
          <w:szCs w:val="28"/>
        </w:rPr>
        <w:t>”, móvil que hace parte del tipo</w:t>
      </w:r>
      <w:r w:rsidR="00164E68" w:rsidRPr="00CD542C">
        <w:rPr>
          <w:rFonts w:ascii="Times New Roman" w:hAnsi="Times New Roman"/>
          <w:sz w:val="28"/>
          <w:szCs w:val="28"/>
        </w:rPr>
        <w:t xml:space="preserve"> (dolo calificado)</w:t>
      </w:r>
      <w:r w:rsidRPr="00CD542C">
        <w:rPr>
          <w:rFonts w:ascii="Times New Roman" w:hAnsi="Times New Roman"/>
          <w:sz w:val="28"/>
          <w:szCs w:val="28"/>
        </w:rPr>
        <w:t xml:space="preserve">. A su vez, el tipo penal </w:t>
      </w:r>
      <w:r w:rsidR="00D810ED" w:rsidRPr="00CD542C">
        <w:rPr>
          <w:rFonts w:ascii="Times New Roman" w:hAnsi="Times New Roman"/>
          <w:sz w:val="28"/>
          <w:szCs w:val="28"/>
        </w:rPr>
        <w:t>describe algunos</w:t>
      </w:r>
      <w:r w:rsidRPr="00CD542C">
        <w:rPr>
          <w:rFonts w:ascii="Times New Roman" w:hAnsi="Times New Roman"/>
          <w:sz w:val="28"/>
          <w:szCs w:val="28"/>
        </w:rPr>
        <w:t xml:space="preserve"> elementos concurrentes o que han antecedido a la muerte de la mujer</w:t>
      </w:r>
      <w:r w:rsidR="00D810ED" w:rsidRPr="00CD542C">
        <w:rPr>
          <w:rFonts w:ascii="Times New Roman" w:hAnsi="Times New Roman"/>
          <w:sz w:val="28"/>
          <w:szCs w:val="28"/>
        </w:rPr>
        <w:t xml:space="preserve"> como circunstancias que permiten inferir la existencia del móvil</w:t>
      </w:r>
      <w:r w:rsidRPr="00CD542C">
        <w:rPr>
          <w:rFonts w:ascii="Times New Roman" w:hAnsi="Times New Roman"/>
          <w:sz w:val="28"/>
          <w:szCs w:val="28"/>
        </w:rPr>
        <w:t>. En el caso particular del inciso acusado, se trata de la existencia de “</w:t>
      </w:r>
      <w:r w:rsidRPr="00CD542C">
        <w:rPr>
          <w:rFonts w:ascii="Times New Roman" w:hAnsi="Times New Roman"/>
          <w:i/>
          <w:sz w:val="28"/>
          <w:szCs w:val="28"/>
        </w:rPr>
        <w:t>antecedentes o indicios de cualquier tipo de violencia o amenaza en el ámbito doméstico, familiar, laboral o escolar por parte del sujeto activo en contra de la víctima o de violencia de género cometida por el autor contra la víctima, independientemente de que el hecho haya sido denunciado o no</w:t>
      </w:r>
      <w:r w:rsidRPr="00CD542C">
        <w:rPr>
          <w:rFonts w:ascii="Times New Roman" w:hAnsi="Times New Roman"/>
          <w:sz w:val="28"/>
          <w:szCs w:val="28"/>
        </w:rPr>
        <w:t>”.</w:t>
      </w:r>
    </w:p>
    <w:p w:rsidR="00C53773" w:rsidRPr="00CD542C" w:rsidRDefault="00C53773" w:rsidP="00CD542C">
      <w:pPr>
        <w:spacing w:after="0" w:line="240" w:lineRule="auto"/>
        <w:jc w:val="both"/>
        <w:rPr>
          <w:rFonts w:ascii="Times New Roman" w:hAnsi="Times New Roman"/>
          <w:sz w:val="28"/>
          <w:szCs w:val="28"/>
          <w:lang w:eastAsia="es-ES"/>
        </w:rPr>
      </w:pPr>
    </w:p>
    <w:p w:rsidR="00F20B67" w:rsidRPr="00CD542C" w:rsidRDefault="000E29B0" w:rsidP="00CD542C">
      <w:pPr>
        <w:spacing w:after="0" w:line="240" w:lineRule="auto"/>
        <w:jc w:val="both"/>
        <w:rPr>
          <w:rFonts w:ascii="Times New Roman" w:hAnsi="Times New Roman"/>
          <w:sz w:val="28"/>
          <w:szCs w:val="28"/>
        </w:rPr>
      </w:pPr>
      <w:r w:rsidRPr="00CD542C">
        <w:rPr>
          <w:rFonts w:ascii="Times New Roman" w:hAnsi="Times New Roman"/>
          <w:sz w:val="28"/>
          <w:szCs w:val="28"/>
        </w:rPr>
        <w:t>8</w:t>
      </w:r>
      <w:r w:rsidR="006B3424" w:rsidRPr="00CD542C">
        <w:rPr>
          <w:rFonts w:ascii="Times New Roman" w:hAnsi="Times New Roman"/>
          <w:sz w:val="28"/>
          <w:szCs w:val="28"/>
        </w:rPr>
        <w:t xml:space="preserve">. </w:t>
      </w:r>
      <w:r w:rsidR="00546FAD" w:rsidRPr="00CD542C">
        <w:rPr>
          <w:rFonts w:ascii="Times New Roman" w:hAnsi="Times New Roman"/>
          <w:sz w:val="28"/>
          <w:szCs w:val="28"/>
        </w:rPr>
        <w:t xml:space="preserve">En efecto, </w:t>
      </w:r>
      <w:r w:rsidR="00D810ED" w:rsidRPr="00CD542C">
        <w:rPr>
          <w:rFonts w:ascii="Times New Roman" w:hAnsi="Times New Roman"/>
          <w:sz w:val="28"/>
          <w:szCs w:val="28"/>
        </w:rPr>
        <w:t>el precepto puede ser leído de dos maneras. L</w:t>
      </w:r>
      <w:r w:rsidR="00546FAD" w:rsidRPr="00CD542C">
        <w:rPr>
          <w:rFonts w:ascii="Times New Roman" w:hAnsi="Times New Roman"/>
          <w:sz w:val="28"/>
          <w:szCs w:val="28"/>
        </w:rPr>
        <w:t xml:space="preserve">a </w:t>
      </w:r>
      <w:r w:rsidR="00546FAD" w:rsidRPr="00CD542C">
        <w:rPr>
          <w:rFonts w:ascii="Times New Roman" w:hAnsi="Times New Roman"/>
          <w:b/>
          <w:i/>
          <w:sz w:val="28"/>
          <w:szCs w:val="28"/>
        </w:rPr>
        <w:t>primera</w:t>
      </w:r>
      <w:r w:rsidR="00546FAD" w:rsidRPr="00CD542C">
        <w:rPr>
          <w:rFonts w:ascii="Times New Roman" w:hAnsi="Times New Roman"/>
          <w:sz w:val="28"/>
          <w:szCs w:val="28"/>
        </w:rPr>
        <w:t xml:space="preserve"> </w:t>
      </w:r>
      <w:r w:rsidR="00D810ED" w:rsidRPr="00CD542C">
        <w:rPr>
          <w:rFonts w:ascii="Times New Roman" w:hAnsi="Times New Roman"/>
          <w:sz w:val="28"/>
          <w:szCs w:val="28"/>
        </w:rPr>
        <w:t xml:space="preserve">propone entender que </w:t>
      </w:r>
      <w:r w:rsidR="00F20B67" w:rsidRPr="00CD542C">
        <w:rPr>
          <w:rFonts w:ascii="Times New Roman" w:hAnsi="Times New Roman"/>
          <w:sz w:val="28"/>
          <w:szCs w:val="28"/>
        </w:rPr>
        <w:t>las</w:t>
      </w:r>
      <w:r w:rsidR="00546FAD" w:rsidRPr="00CD542C">
        <w:rPr>
          <w:rFonts w:ascii="Times New Roman" w:hAnsi="Times New Roman"/>
          <w:sz w:val="28"/>
          <w:szCs w:val="28"/>
        </w:rPr>
        <w:t xml:space="preserve"> circunstancias</w:t>
      </w:r>
      <w:r w:rsidR="00F20B67" w:rsidRPr="00CD542C">
        <w:rPr>
          <w:rFonts w:ascii="Times New Roman" w:hAnsi="Times New Roman"/>
          <w:sz w:val="28"/>
          <w:szCs w:val="28"/>
        </w:rPr>
        <w:t xml:space="preserve"> detalladas en el literal e) del artículo 2</w:t>
      </w:r>
      <w:r w:rsidR="007C0AB6" w:rsidRPr="00CD542C">
        <w:rPr>
          <w:rFonts w:ascii="Times New Roman" w:hAnsi="Times New Roman"/>
          <w:sz w:val="28"/>
          <w:szCs w:val="28"/>
        </w:rPr>
        <w:t>º</w:t>
      </w:r>
      <w:r w:rsidR="00D810ED" w:rsidRPr="00CD542C">
        <w:rPr>
          <w:rFonts w:ascii="Times New Roman" w:hAnsi="Times New Roman"/>
          <w:sz w:val="28"/>
          <w:szCs w:val="28"/>
        </w:rPr>
        <w:t xml:space="preserve"> de la Ley 1761</w:t>
      </w:r>
      <w:r w:rsidR="00D810ED" w:rsidRPr="00CD542C">
        <w:rPr>
          <w:rFonts w:ascii="Times New Roman" w:hAnsi="Times New Roman"/>
          <w:i/>
          <w:sz w:val="28"/>
          <w:szCs w:val="28"/>
        </w:rPr>
        <w:t xml:space="preserve"> (</w:t>
      </w:r>
      <w:r w:rsidR="00546FAD" w:rsidRPr="00CD542C">
        <w:rPr>
          <w:rFonts w:ascii="Times New Roman" w:hAnsi="Times New Roman"/>
          <w:iCs/>
          <w:sz w:val="28"/>
          <w:szCs w:val="28"/>
        </w:rPr>
        <w:t xml:space="preserve">antecedentes, indicios o amenaza de </w:t>
      </w:r>
      <w:r w:rsidR="00F20B67" w:rsidRPr="00CD542C">
        <w:rPr>
          <w:rFonts w:ascii="Times New Roman" w:hAnsi="Times New Roman"/>
          <w:iCs/>
          <w:sz w:val="28"/>
          <w:szCs w:val="28"/>
        </w:rPr>
        <w:t xml:space="preserve">cualquier tipo de </w:t>
      </w:r>
      <w:r w:rsidR="00546FAD" w:rsidRPr="00CD542C">
        <w:rPr>
          <w:rFonts w:ascii="Times New Roman" w:hAnsi="Times New Roman"/>
          <w:iCs/>
          <w:sz w:val="28"/>
          <w:szCs w:val="28"/>
        </w:rPr>
        <w:t>violencia</w:t>
      </w:r>
      <w:r w:rsidR="00D810ED" w:rsidRPr="00CD542C">
        <w:rPr>
          <w:rFonts w:ascii="Times New Roman" w:hAnsi="Times New Roman"/>
          <w:iCs/>
          <w:sz w:val="28"/>
          <w:szCs w:val="28"/>
        </w:rPr>
        <w:t>)</w:t>
      </w:r>
      <w:r w:rsidR="00546FAD" w:rsidRPr="00CD542C">
        <w:rPr>
          <w:rFonts w:ascii="Times New Roman" w:hAnsi="Times New Roman"/>
          <w:i/>
          <w:sz w:val="28"/>
          <w:szCs w:val="28"/>
        </w:rPr>
        <w:t xml:space="preserve"> </w:t>
      </w:r>
      <w:r w:rsidR="00546FAD" w:rsidRPr="00CD542C">
        <w:rPr>
          <w:rFonts w:ascii="Times New Roman" w:hAnsi="Times New Roman"/>
          <w:sz w:val="28"/>
          <w:szCs w:val="28"/>
        </w:rPr>
        <w:t xml:space="preserve">se separan del hecho de dar muerte </w:t>
      </w:r>
      <w:r w:rsidR="00F20B67" w:rsidRPr="00CD542C">
        <w:rPr>
          <w:rFonts w:ascii="Times New Roman" w:hAnsi="Times New Roman"/>
          <w:sz w:val="28"/>
          <w:szCs w:val="28"/>
        </w:rPr>
        <w:t xml:space="preserve">a una mujer, </w:t>
      </w:r>
      <w:r w:rsidR="00546FAD" w:rsidRPr="00CD542C">
        <w:rPr>
          <w:rFonts w:ascii="Times New Roman" w:hAnsi="Times New Roman"/>
          <w:sz w:val="28"/>
          <w:szCs w:val="28"/>
        </w:rPr>
        <w:t>por el motivo de ser</w:t>
      </w:r>
      <w:r w:rsidR="00F20B67" w:rsidRPr="00CD542C">
        <w:rPr>
          <w:rFonts w:ascii="Times New Roman" w:hAnsi="Times New Roman"/>
          <w:sz w:val="28"/>
          <w:szCs w:val="28"/>
        </w:rPr>
        <w:t>lo</w:t>
      </w:r>
      <w:r w:rsidR="00546FAD" w:rsidRPr="00CD542C">
        <w:rPr>
          <w:rFonts w:ascii="Times New Roman" w:hAnsi="Times New Roman"/>
          <w:sz w:val="28"/>
          <w:szCs w:val="28"/>
        </w:rPr>
        <w:t xml:space="preserve"> o por razones de género. Es decir, la le</w:t>
      </w:r>
      <w:r w:rsidR="00F20B67" w:rsidRPr="00CD542C">
        <w:rPr>
          <w:rFonts w:ascii="Times New Roman" w:hAnsi="Times New Roman"/>
          <w:sz w:val="28"/>
          <w:szCs w:val="28"/>
        </w:rPr>
        <w:t xml:space="preserve">ctura que plantea el demandante, en la que </w:t>
      </w:r>
      <w:r w:rsidR="00546FAD" w:rsidRPr="00CD542C">
        <w:rPr>
          <w:rFonts w:ascii="Times New Roman" w:hAnsi="Times New Roman"/>
          <w:sz w:val="28"/>
          <w:szCs w:val="28"/>
        </w:rPr>
        <w:t>la imp</w:t>
      </w:r>
      <w:r w:rsidR="00F20B67" w:rsidRPr="00CD542C">
        <w:rPr>
          <w:rFonts w:ascii="Times New Roman" w:hAnsi="Times New Roman"/>
          <w:sz w:val="28"/>
          <w:szCs w:val="28"/>
        </w:rPr>
        <w:t xml:space="preserve">utación del feminicidio sólo </w:t>
      </w:r>
      <w:r w:rsidR="00546FAD" w:rsidRPr="00CD542C">
        <w:rPr>
          <w:rFonts w:ascii="Times New Roman" w:hAnsi="Times New Roman"/>
          <w:sz w:val="28"/>
          <w:szCs w:val="28"/>
        </w:rPr>
        <w:t>r</w:t>
      </w:r>
      <w:r w:rsidR="00F20B67" w:rsidRPr="00CD542C">
        <w:rPr>
          <w:rFonts w:ascii="Times New Roman" w:hAnsi="Times New Roman"/>
          <w:sz w:val="28"/>
          <w:szCs w:val="28"/>
        </w:rPr>
        <w:t>equeriría la verificación de tales</w:t>
      </w:r>
      <w:r w:rsidR="00546FAD" w:rsidRPr="00CD542C">
        <w:rPr>
          <w:rFonts w:ascii="Times New Roman" w:hAnsi="Times New Roman"/>
          <w:sz w:val="28"/>
          <w:szCs w:val="28"/>
        </w:rPr>
        <w:t xml:space="preserve"> circunstancias y causar la muerte a la mujer.</w:t>
      </w:r>
      <w:r w:rsidR="00F20B67" w:rsidRPr="00CD542C">
        <w:rPr>
          <w:rFonts w:ascii="Times New Roman" w:hAnsi="Times New Roman"/>
          <w:sz w:val="28"/>
          <w:szCs w:val="28"/>
        </w:rPr>
        <w:t xml:space="preserve"> D</w:t>
      </w:r>
      <w:r w:rsidR="00546FAD" w:rsidRPr="00CD542C">
        <w:rPr>
          <w:rFonts w:ascii="Times New Roman" w:hAnsi="Times New Roman"/>
          <w:sz w:val="28"/>
          <w:szCs w:val="28"/>
        </w:rPr>
        <w:t xml:space="preserve">icha interpretación </w:t>
      </w:r>
      <w:r w:rsidR="00546FAD" w:rsidRPr="00CD542C">
        <w:rPr>
          <w:rFonts w:ascii="Times New Roman" w:hAnsi="Times New Roman"/>
          <w:b/>
          <w:sz w:val="28"/>
          <w:szCs w:val="28"/>
        </w:rPr>
        <w:t>suprime el móvil del delito de feminicidio</w:t>
      </w:r>
      <w:r w:rsidR="00546FAD" w:rsidRPr="00CD542C">
        <w:rPr>
          <w:rFonts w:ascii="Times New Roman" w:hAnsi="Times New Roman"/>
          <w:sz w:val="28"/>
          <w:szCs w:val="28"/>
        </w:rPr>
        <w:t xml:space="preserve"> consignado en el acto de matar a una mujer </w:t>
      </w:r>
      <w:r w:rsidR="00546FAD" w:rsidRPr="00CD542C">
        <w:rPr>
          <w:rFonts w:ascii="Times New Roman" w:hAnsi="Times New Roman"/>
          <w:b/>
          <w:sz w:val="28"/>
          <w:szCs w:val="28"/>
        </w:rPr>
        <w:t>por el hecho de serlo o por su identidad de género</w:t>
      </w:r>
      <w:r w:rsidR="00546FAD" w:rsidRPr="00CD542C">
        <w:rPr>
          <w:rFonts w:ascii="Times New Roman" w:hAnsi="Times New Roman"/>
          <w:sz w:val="28"/>
          <w:szCs w:val="28"/>
        </w:rPr>
        <w:t xml:space="preserve">.  </w:t>
      </w:r>
    </w:p>
    <w:p w:rsidR="00F20B67" w:rsidRPr="00CD542C" w:rsidRDefault="00F20B67" w:rsidP="00CD542C">
      <w:pPr>
        <w:spacing w:after="0" w:line="240" w:lineRule="auto"/>
        <w:jc w:val="both"/>
        <w:rPr>
          <w:rFonts w:ascii="Times New Roman" w:hAnsi="Times New Roman"/>
          <w:sz w:val="28"/>
          <w:szCs w:val="28"/>
        </w:rPr>
      </w:pPr>
    </w:p>
    <w:p w:rsidR="00546FAD" w:rsidRPr="00CD542C" w:rsidRDefault="00546FAD"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Este acercamiento </w:t>
      </w:r>
      <w:r w:rsidR="002D7AF8" w:rsidRPr="00CD542C">
        <w:rPr>
          <w:rFonts w:ascii="Times New Roman" w:hAnsi="Times New Roman"/>
          <w:sz w:val="28"/>
          <w:szCs w:val="28"/>
        </w:rPr>
        <w:t>podría desprenderse de la norma, pues en ella se</w:t>
      </w:r>
      <w:r w:rsidRPr="00CD542C">
        <w:rPr>
          <w:rFonts w:ascii="Times New Roman" w:hAnsi="Times New Roman"/>
          <w:sz w:val="28"/>
          <w:szCs w:val="28"/>
        </w:rPr>
        <w:t xml:space="preserve"> establece que la conducta se configura cuando</w:t>
      </w:r>
      <w:r w:rsidR="00E3013B" w:rsidRPr="00CD542C">
        <w:rPr>
          <w:rFonts w:ascii="Times New Roman" w:hAnsi="Times New Roman"/>
          <w:sz w:val="28"/>
          <w:szCs w:val="28"/>
        </w:rPr>
        <w:t xml:space="preserve"> se causa</w:t>
      </w:r>
      <w:r w:rsidR="002D7AF8" w:rsidRPr="00CD542C">
        <w:rPr>
          <w:rFonts w:ascii="Times New Roman" w:hAnsi="Times New Roman"/>
          <w:sz w:val="28"/>
          <w:szCs w:val="28"/>
        </w:rPr>
        <w:t xml:space="preserve"> la muerte a una mujer,</w:t>
      </w:r>
      <w:r w:rsidRPr="00CD542C">
        <w:rPr>
          <w:rFonts w:ascii="Times New Roman" w:hAnsi="Times New Roman"/>
          <w:sz w:val="28"/>
          <w:szCs w:val="28"/>
        </w:rPr>
        <w:t xml:space="preserve"> “</w:t>
      </w:r>
      <w:r w:rsidRPr="00CD542C">
        <w:rPr>
          <w:rFonts w:ascii="Times New Roman" w:hAnsi="Times New Roman"/>
          <w:i/>
          <w:sz w:val="28"/>
          <w:szCs w:val="28"/>
        </w:rPr>
        <w:t xml:space="preserve">por su condición de ser mujer </w:t>
      </w:r>
      <w:r w:rsidRPr="00CD542C">
        <w:rPr>
          <w:rFonts w:ascii="Times New Roman" w:hAnsi="Times New Roman"/>
          <w:b/>
          <w:i/>
          <w:sz w:val="28"/>
          <w:szCs w:val="28"/>
          <w:u w:val="single"/>
        </w:rPr>
        <w:t>o</w:t>
      </w:r>
      <w:r w:rsidRPr="00CD542C">
        <w:rPr>
          <w:rFonts w:ascii="Times New Roman" w:hAnsi="Times New Roman"/>
          <w:i/>
          <w:sz w:val="28"/>
          <w:szCs w:val="28"/>
        </w:rPr>
        <w:t xml:space="preserve"> por motivos de su identidad de género </w:t>
      </w:r>
      <w:r w:rsidRPr="00CD542C">
        <w:rPr>
          <w:rFonts w:ascii="Times New Roman" w:hAnsi="Times New Roman"/>
          <w:b/>
          <w:i/>
          <w:sz w:val="28"/>
          <w:szCs w:val="28"/>
          <w:u w:val="single"/>
        </w:rPr>
        <w:t>o</w:t>
      </w:r>
      <w:r w:rsidRPr="00CD542C">
        <w:rPr>
          <w:rFonts w:ascii="Times New Roman" w:hAnsi="Times New Roman"/>
          <w:i/>
          <w:sz w:val="28"/>
          <w:szCs w:val="28"/>
        </w:rPr>
        <w:t xml:space="preserve"> cuando concurran o antecedan las siguientes circunstancias</w:t>
      </w:r>
      <w:r w:rsidRPr="00CD542C">
        <w:rPr>
          <w:rFonts w:ascii="Times New Roman" w:hAnsi="Times New Roman"/>
          <w:sz w:val="28"/>
          <w:szCs w:val="28"/>
        </w:rPr>
        <w:t xml:space="preserve"> (…)”. Así,</w:t>
      </w:r>
      <w:r w:rsidR="00FC25C0" w:rsidRPr="00CD542C">
        <w:rPr>
          <w:rFonts w:ascii="Times New Roman" w:hAnsi="Times New Roman"/>
          <w:sz w:val="28"/>
          <w:szCs w:val="28"/>
        </w:rPr>
        <w:t xml:space="preserve"> siguiendo una lectura literal del aparte normativo, </w:t>
      </w:r>
      <w:r w:rsidRPr="00CD542C">
        <w:rPr>
          <w:rFonts w:ascii="Times New Roman" w:hAnsi="Times New Roman"/>
          <w:sz w:val="28"/>
          <w:szCs w:val="28"/>
        </w:rPr>
        <w:t xml:space="preserve">el conector </w:t>
      </w:r>
      <w:r w:rsidR="00FC25C0" w:rsidRPr="00CD542C">
        <w:rPr>
          <w:rFonts w:ascii="Times New Roman" w:hAnsi="Times New Roman"/>
          <w:b/>
          <w:sz w:val="28"/>
          <w:szCs w:val="28"/>
        </w:rPr>
        <w:t>“</w:t>
      </w:r>
      <w:r w:rsidRPr="00CD542C">
        <w:rPr>
          <w:rFonts w:ascii="Times New Roman" w:hAnsi="Times New Roman"/>
          <w:b/>
          <w:sz w:val="28"/>
          <w:szCs w:val="28"/>
        </w:rPr>
        <w:t>o</w:t>
      </w:r>
      <w:r w:rsidR="00FC25C0" w:rsidRPr="00CD542C">
        <w:rPr>
          <w:rFonts w:ascii="Times New Roman" w:hAnsi="Times New Roman"/>
          <w:b/>
          <w:sz w:val="28"/>
          <w:szCs w:val="28"/>
        </w:rPr>
        <w:t>”</w:t>
      </w:r>
      <w:r w:rsidR="001C745D" w:rsidRPr="00CD542C">
        <w:rPr>
          <w:rFonts w:ascii="Times New Roman" w:hAnsi="Times New Roman"/>
          <w:b/>
          <w:sz w:val="28"/>
          <w:szCs w:val="28"/>
        </w:rPr>
        <w:t xml:space="preserve"> </w:t>
      </w:r>
      <w:r w:rsidR="001C745D" w:rsidRPr="00CD542C">
        <w:rPr>
          <w:rFonts w:ascii="Times New Roman" w:hAnsi="Times New Roman"/>
          <w:sz w:val="28"/>
          <w:szCs w:val="28"/>
        </w:rPr>
        <w:t xml:space="preserve">que es disyuntivo, indicaría que </w:t>
      </w:r>
      <w:r w:rsidR="00EA322A" w:rsidRPr="00CD542C">
        <w:rPr>
          <w:rFonts w:ascii="Times New Roman" w:hAnsi="Times New Roman"/>
          <w:sz w:val="28"/>
          <w:szCs w:val="28"/>
        </w:rPr>
        <w:t>el verbo rector “matar a una mujer” puede ligarse con tres hipótesis</w:t>
      </w:r>
      <w:r w:rsidR="0085472B" w:rsidRPr="00CD542C">
        <w:rPr>
          <w:rFonts w:ascii="Times New Roman" w:hAnsi="Times New Roman"/>
          <w:sz w:val="28"/>
          <w:szCs w:val="28"/>
        </w:rPr>
        <w:t xml:space="preserve"> que configurarían el </w:t>
      </w:r>
      <w:r w:rsidR="00C10D54" w:rsidRPr="00CD542C">
        <w:rPr>
          <w:rFonts w:ascii="Times New Roman" w:hAnsi="Times New Roman"/>
          <w:sz w:val="28"/>
          <w:szCs w:val="28"/>
        </w:rPr>
        <w:t>feminicidio</w:t>
      </w:r>
      <w:r w:rsidR="00EA322A" w:rsidRPr="00CD542C">
        <w:rPr>
          <w:rFonts w:ascii="Times New Roman" w:hAnsi="Times New Roman"/>
          <w:sz w:val="28"/>
          <w:szCs w:val="28"/>
        </w:rPr>
        <w:t xml:space="preserve">: </w:t>
      </w:r>
      <w:r w:rsidR="00EA322A" w:rsidRPr="00CD542C">
        <w:rPr>
          <w:rFonts w:ascii="Times New Roman" w:hAnsi="Times New Roman"/>
          <w:i/>
          <w:sz w:val="28"/>
          <w:szCs w:val="28"/>
        </w:rPr>
        <w:t xml:space="preserve">i) </w:t>
      </w:r>
      <w:r w:rsidR="0085472B" w:rsidRPr="00CD542C">
        <w:rPr>
          <w:rFonts w:ascii="Times New Roman" w:hAnsi="Times New Roman"/>
          <w:sz w:val="28"/>
          <w:szCs w:val="28"/>
        </w:rPr>
        <w:t xml:space="preserve">matarla </w:t>
      </w:r>
      <w:r w:rsidR="00EA322A" w:rsidRPr="00CD542C">
        <w:rPr>
          <w:rFonts w:ascii="Times New Roman" w:hAnsi="Times New Roman"/>
          <w:sz w:val="28"/>
          <w:szCs w:val="28"/>
        </w:rPr>
        <w:t xml:space="preserve">por ser mujer; </w:t>
      </w:r>
      <w:r w:rsidR="00EA322A" w:rsidRPr="00CD542C">
        <w:rPr>
          <w:rFonts w:ascii="Times New Roman" w:hAnsi="Times New Roman"/>
          <w:i/>
          <w:sz w:val="28"/>
          <w:szCs w:val="28"/>
        </w:rPr>
        <w:t>ii)</w:t>
      </w:r>
      <w:r w:rsidR="00EA322A" w:rsidRPr="00CD542C">
        <w:rPr>
          <w:rFonts w:ascii="Times New Roman" w:hAnsi="Times New Roman"/>
          <w:sz w:val="28"/>
          <w:szCs w:val="28"/>
        </w:rPr>
        <w:t xml:space="preserve"> </w:t>
      </w:r>
      <w:r w:rsidR="0085472B" w:rsidRPr="00CD542C">
        <w:rPr>
          <w:rFonts w:ascii="Times New Roman" w:hAnsi="Times New Roman"/>
          <w:sz w:val="28"/>
          <w:szCs w:val="28"/>
        </w:rPr>
        <w:t xml:space="preserve">matarla </w:t>
      </w:r>
      <w:r w:rsidR="00EA322A" w:rsidRPr="00CD542C">
        <w:rPr>
          <w:rFonts w:ascii="Times New Roman" w:hAnsi="Times New Roman"/>
          <w:sz w:val="28"/>
          <w:szCs w:val="28"/>
        </w:rPr>
        <w:t xml:space="preserve">por su </w:t>
      </w:r>
      <w:r w:rsidR="00C10D54" w:rsidRPr="00CD542C">
        <w:rPr>
          <w:rFonts w:ascii="Times New Roman" w:hAnsi="Times New Roman"/>
          <w:sz w:val="28"/>
          <w:szCs w:val="28"/>
        </w:rPr>
        <w:t>identidad</w:t>
      </w:r>
      <w:r w:rsidR="00EA322A" w:rsidRPr="00CD542C">
        <w:rPr>
          <w:rFonts w:ascii="Times New Roman" w:hAnsi="Times New Roman"/>
          <w:sz w:val="28"/>
          <w:szCs w:val="28"/>
        </w:rPr>
        <w:t xml:space="preserve"> de g</w:t>
      </w:r>
      <w:r w:rsidR="00C10D54" w:rsidRPr="00CD542C">
        <w:rPr>
          <w:rFonts w:ascii="Times New Roman" w:hAnsi="Times New Roman"/>
          <w:sz w:val="28"/>
          <w:szCs w:val="28"/>
        </w:rPr>
        <w:t xml:space="preserve">énero, </w:t>
      </w:r>
      <w:r w:rsidR="00EA322A" w:rsidRPr="00CD542C">
        <w:rPr>
          <w:rFonts w:ascii="Times New Roman" w:hAnsi="Times New Roman"/>
          <w:sz w:val="28"/>
          <w:szCs w:val="28"/>
        </w:rPr>
        <w:t xml:space="preserve">y </w:t>
      </w:r>
      <w:r w:rsidR="00EA322A" w:rsidRPr="00CD542C">
        <w:rPr>
          <w:rFonts w:ascii="Times New Roman" w:hAnsi="Times New Roman"/>
          <w:i/>
          <w:sz w:val="28"/>
          <w:szCs w:val="28"/>
        </w:rPr>
        <w:t>iii)</w:t>
      </w:r>
      <w:r w:rsidR="00EA322A" w:rsidRPr="00CD542C">
        <w:rPr>
          <w:rFonts w:ascii="Times New Roman" w:hAnsi="Times New Roman"/>
          <w:sz w:val="28"/>
          <w:szCs w:val="28"/>
        </w:rPr>
        <w:t xml:space="preserve"> </w:t>
      </w:r>
      <w:r w:rsidR="00C10D54" w:rsidRPr="00CD542C">
        <w:rPr>
          <w:rFonts w:ascii="Times New Roman" w:hAnsi="Times New Roman"/>
          <w:sz w:val="28"/>
          <w:szCs w:val="28"/>
        </w:rPr>
        <w:t xml:space="preserve">matarla y que </w:t>
      </w:r>
      <w:r w:rsidR="00EA322A" w:rsidRPr="00CD542C">
        <w:rPr>
          <w:rFonts w:ascii="Times New Roman" w:hAnsi="Times New Roman"/>
          <w:sz w:val="28"/>
          <w:szCs w:val="28"/>
        </w:rPr>
        <w:t>concurran o antecedan las circunstancias</w:t>
      </w:r>
      <w:r w:rsidR="00C10D54" w:rsidRPr="00CD542C">
        <w:rPr>
          <w:rFonts w:ascii="Times New Roman" w:hAnsi="Times New Roman"/>
          <w:sz w:val="28"/>
          <w:szCs w:val="28"/>
        </w:rPr>
        <w:t xml:space="preserve"> establecidas en los literales de la norma, incluido el literal e) acusado.</w:t>
      </w:r>
      <w:r w:rsidRPr="00CD542C">
        <w:rPr>
          <w:rFonts w:ascii="Times New Roman" w:hAnsi="Times New Roman"/>
          <w:sz w:val="28"/>
          <w:szCs w:val="28"/>
        </w:rPr>
        <w:t xml:space="preserve"> Dicha lectura configuraría un contrasentido, en la medida en que </w:t>
      </w:r>
      <w:r w:rsidRPr="00CD542C">
        <w:rPr>
          <w:rFonts w:ascii="Times New Roman" w:hAnsi="Times New Roman"/>
          <w:sz w:val="28"/>
          <w:szCs w:val="28"/>
        </w:rPr>
        <w:lastRenderedPageBreak/>
        <w:t>excluiría justamente el elemento subjetivo de la conducta que configura el feminicidio</w:t>
      </w:r>
      <w:r w:rsidR="006B3424" w:rsidRPr="00CD542C">
        <w:rPr>
          <w:rFonts w:ascii="Times New Roman" w:hAnsi="Times New Roman"/>
          <w:sz w:val="28"/>
          <w:szCs w:val="28"/>
        </w:rPr>
        <w:t xml:space="preserve">, tal y como se expondrá más adelante. </w:t>
      </w:r>
    </w:p>
    <w:p w:rsidR="00546FAD" w:rsidRPr="00CD542C" w:rsidRDefault="00546FAD" w:rsidP="00CD542C">
      <w:pPr>
        <w:spacing w:after="0" w:line="240" w:lineRule="auto"/>
        <w:jc w:val="both"/>
        <w:rPr>
          <w:rFonts w:ascii="Times New Roman" w:hAnsi="Times New Roman"/>
          <w:sz w:val="28"/>
          <w:szCs w:val="28"/>
          <w:lang w:eastAsia="es-ES"/>
        </w:rPr>
      </w:pPr>
    </w:p>
    <w:p w:rsidR="00E55EB8" w:rsidRPr="00CD542C" w:rsidRDefault="000E29B0" w:rsidP="00CD542C">
      <w:pPr>
        <w:spacing w:after="0" w:line="240" w:lineRule="auto"/>
        <w:jc w:val="both"/>
        <w:rPr>
          <w:rFonts w:ascii="Times New Roman" w:hAnsi="Times New Roman"/>
          <w:sz w:val="28"/>
          <w:szCs w:val="28"/>
        </w:rPr>
      </w:pPr>
      <w:r w:rsidRPr="00CD542C">
        <w:rPr>
          <w:rFonts w:ascii="Times New Roman" w:hAnsi="Times New Roman"/>
          <w:sz w:val="28"/>
          <w:szCs w:val="28"/>
        </w:rPr>
        <w:t>9</w:t>
      </w:r>
      <w:r w:rsidR="006B3424" w:rsidRPr="00CD542C">
        <w:rPr>
          <w:rFonts w:ascii="Times New Roman" w:hAnsi="Times New Roman"/>
          <w:sz w:val="28"/>
          <w:szCs w:val="28"/>
        </w:rPr>
        <w:t xml:space="preserve">. </w:t>
      </w:r>
      <w:r w:rsidR="00E55EB8" w:rsidRPr="00CD542C">
        <w:rPr>
          <w:rFonts w:ascii="Times New Roman" w:hAnsi="Times New Roman"/>
          <w:sz w:val="28"/>
          <w:szCs w:val="28"/>
        </w:rPr>
        <w:t xml:space="preserve">La </w:t>
      </w:r>
      <w:r w:rsidR="00E55EB8" w:rsidRPr="00CD542C">
        <w:rPr>
          <w:rFonts w:ascii="Times New Roman" w:hAnsi="Times New Roman"/>
          <w:b/>
          <w:i/>
          <w:sz w:val="28"/>
          <w:szCs w:val="28"/>
        </w:rPr>
        <w:t>segunda</w:t>
      </w:r>
      <w:r w:rsidR="00E55EB8" w:rsidRPr="00CD542C">
        <w:rPr>
          <w:rFonts w:ascii="Times New Roman" w:hAnsi="Times New Roman"/>
          <w:sz w:val="28"/>
          <w:szCs w:val="28"/>
        </w:rPr>
        <w:t xml:space="preserve"> lectura posible es la que mantiene esa intención y que implica que la circunstancia descrita actúa como un</w:t>
      </w:r>
      <w:r w:rsidR="0090378C" w:rsidRPr="00CD542C">
        <w:rPr>
          <w:rFonts w:ascii="Times New Roman" w:hAnsi="Times New Roman"/>
          <w:sz w:val="28"/>
          <w:szCs w:val="28"/>
        </w:rPr>
        <w:t xml:space="preserve"> </w:t>
      </w:r>
      <w:r w:rsidR="0090378C" w:rsidRPr="00CD542C">
        <w:rPr>
          <w:rFonts w:ascii="Times New Roman" w:hAnsi="Times New Roman"/>
          <w:b/>
          <w:sz w:val="28"/>
          <w:szCs w:val="28"/>
        </w:rPr>
        <w:t xml:space="preserve">elemento </w:t>
      </w:r>
      <w:r w:rsidR="005D41D2" w:rsidRPr="00CD542C">
        <w:rPr>
          <w:rFonts w:ascii="Times New Roman" w:hAnsi="Times New Roman"/>
          <w:b/>
          <w:sz w:val="28"/>
          <w:szCs w:val="28"/>
        </w:rPr>
        <w:t>descriptivo del tipo</w:t>
      </w:r>
      <w:r w:rsidR="005D41D2" w:rsidRPr="00CD542C">
        <w:rPr>
          <w:rFonts w:ascii="Times New Roman" w:hAnsi="Times New Roman"/>
          <w:sz w:val="28"/>
          <w:szCs w:val="28"/>
        </w:rPr>
        <w:t xml:space="preserve"> o</w:t>
      </w:r>
      <w:r w:rsidR="00E55EB8" w:rsidRPr="00CD542C">
        <w:rPr>
          <w:rFonts w:ascii="Times New Roman" w:hAnsi="Times New Roman"/>
          <w:sz w:val="28"/>
          <w:szCs w:val="28"/>
        </w:rPr>
        <w:t xml:space="preserve"> </w:t>
      </w:r>
      <w:r w:rsidR="00E55EB8" w:rsidRPr="00CD542C">
        <w:rPr>
          <w:rFonts w:ascii="Times New Roman" w:hAnsi="Times New Roman"/>
          <w:b/>
          <w:i/>
          <w:sz w:val="28"/>
          <w:szCs w:val="28"/>
        </w:rPr>
        <w:t>hecho contextual</w:t>
      </w:r>
      <w:r w:rsidR="00E55EB8" w:rsidRPr="00CD542C">
        <w:rPr>
          <w:rFonts w:ascii="Times New Roman" w:hAnsi="Times New Roman"/>
          <w:sz w:val="28"/>
          <w:szCs w:val="28"/>
        </w:rPr>
        <w:t xml:space="preserve"> que potencialmente puede determinar el elemento de la intención de matar a una mujer por el hecho de serlo o por su identidad de género</w:t>
      </w:r>
      <w:r w:rsidR="005D41D2" w:rsidRPr="00CD542C">
        <w:rPr>
          <w:rFonts w:ascii="Times New Roman" w:hAnsi="Times New Roman"/>
          <w:sz w:val="28"/>
          <w:szCs w:val="28"/>
        </w:rPr>
        <w:t>, sin que sea necesario para que se configure el elemento subjetivo</w:t>
      </w:r>
      <w:r w:rsidR="00E55EB8" w:rsidRPr="00CD542C">
        <w:rPr>
          <w:rFonts w:ascii="Times New Roman" w:hAnsi="Times New Roman"/>
          <w:sz w:val="28"/>
          <w:szCs w:val="28"/>
        </w:rPr>
        <w:t>. En este caso,</w:t>
      </w:r>
      <w:r w:rsidR="004B3536" w:rsidRPr="00CD542C">
        <w:rPr>
          <w:rFonts w:ascii="Times New Roman" w:hAnsi="Times New Roman"/>
          <w:sz w:val="28"/>
          <w:szCs w:val="28"/>
        </w:rPr>
        <w:t xml:space="preserve"> a pesar de la literalidad del conector </w:t>
      </w:r>
      <w:r w:rsidR="004B3536" w:rsidRPr="00CD542C">
        <w:rPr>
          <w:rFonts w:ascii="Times New Roman" w:hAnsi="Times New Roman"/>
          <w:b/>
          <w:sz w:val="28"/>
          <w:szCs w:val="28"/>
        </w:rPr>
        <w:t>“o”</w:t>
      </w:r>
      <w:r w:rsidR="004B3536" w:rsidRPr="00CD542C">
        <w:rPr>
          <w:rFonts w:ascii="Times New Roman" w:hAnsi="Times New Roman"/>
          <w:sz w:val="28"/>
          <w:szCs w:val="28"/>
        </w:rPr>
        <w:t>, una</w:t>
      </w:r>
      <w:r w:rsidR="00BC5F9F" w:rsidRPr="00CD542C">
        <w:rPr>
          <w:rFonts w:ascii="Times New Roman" w:hAnsi="Times New Roman"/>
          <w:sz w:val="28"/>
          <w:szCs w:val="28"/>
        </w:rPr>
        <w:t xml:space="preserve"> lectura</w:t>
      </w:r>
      <w:r w:rsidR="004B3536" w:rsidRPr="00CD542C">
        <w:rPr>
          <w:rFonts w:ascii="Times New Roman" w:hAnsi="Times New Roman"/>
          <w:sz w:val="28"/>
          <w:szCs w:val="28"/>
        </w:rPr>
        <w:t xml:space="preserve"> sistemática y teleológica</w:t>
      </w:r>
      <w:r w:rsidR="00E3013B" w:rsidRPr="00CD542C">
        <w:rPr>
          <w:rFonts w:ascii="Times New Roman" w:hAnsi="Times New Roman"/>
          <w:sz w:val="28"/>
          <w:szCs w:val="28"/>
        </w:rPr>
        <w:t xml:space="preserve"> del tipo penal</w:t>
      </w:r>
      <w:r w:rsidR="004B3536" w:rsidRPr="00CD542C">
        <w:rPr>
          <w:rFonts w:ascii="Times New Roman" w:hAnsi="Times New Roman"/>
          <w:sz w:val="28"/>
          <w:szCs w:val="28"/>
        </w:rPr>
        <w:t xml:space="preserve"> mantendría </w:t>
      </w:r>
      <w:r w:rsidR="00E3013B" w:rsidRPr="00CD542C">
        <w:rPr>
          <w:rFonts w:ascii="Times New Roman" w:hAnsi="Times New Roman"/>
          <w:sz w:val="28"/>
          <w:szCs w:val="28"/>
        </w:rPr>
        <w:t>el</w:t>
      </w:r>
      <w:r w:rsidR="00270851" w:rsidRPr="00CD542C">
        <w:rPr>
          <w:rFonts w:ascii="Times New Roman" w:hAnsi="Times New Roman"/>
          <w:sz w:val="28"/>
          <w:szCs w:val="28"/>
        </w:rPr>
        <w:t xml:space="preserve"> sentido de la norma, pues </w:t>
      </w:r>
      <w:r w:rsidR="00E55EB8" w:rsidRPr="00CD542C">
        <w:rPr>
          <w:rFonts w:ascii="Times New Roman" w:hAnsi="Times New Roman"/>
          <w:b/>
          <w:sz w:val="28"/>
          <w:szCs w:val="28"/>
        </w:rPr>
        <w:t xml:space="preserve">el móvil se </w:t>
      </w:r>
      <w:r w:rsidR="00270851" w:rsidRPr="00CD542C">
        <w:rPr>
          <w:rFonts w:ascii="Times New Roman" w:hAnsi="Times New Roman"/>
          <w:b/>
          <w:sz w:val="28"/>
          <w:szCs w:val="28"/>
        </w:rPr>
        <w:t>conserva</w:t>
      </w:r>
      <w:r w:rsidR="00E55EB8" w:rsidRPr="00CD542C">
        <w:rPr>
          <w:rFonts w:ascii="Times New Roman" w:hAnsi="Times New Roman"/>
          <w:b/>
          <w:sz w:val="28"/>
          <w:szCs w:val="28"/>
        </w:rPr>
        <w:t xml:space="preserve"> en la descripción de la conducta</w:t>
      </w:r>
      <w:r w:rsidR="00E55EB8" w:rsidRPr="00CD542C">
        <w:rPr>
          <w:rFonts w:ascii="Times New Roman" w:hAnsi="Times New Roman"/>
          <w:sz w:val="28"/>
          <w:szCs w:val="28"/>
        </w:rPr>
        <w:t>. Es decir, independientemente de las circun</w:t>
      </w:r>
      <w:r w:rsidR="00EB7BE9" w:rsidRPr="00CD542C">
        <w:rPr>
          <w:rFonts w:ascii="Times New Roman" w:hAnsi="Times New Roman"/>
          <w:sz w:val="28"/>
          <w:szCs w:val="28"/>
        </w:rPr>
        <w:t>stancias que se describen en los literales del artículo 2º</w:t>
      </w:r>
      <w:r w:rsidR="00E55EB8" w:rsidRPr="00CD542C">
        <w:rPr>
          <w:rFonts w:ascii="Times New Roman" w:hAnsi="Times New Roman"/>
          <w:sz w:val="28"/>
          <w:szCs w:val="28"/>
        </w:rPr>
        <w:t xml:space="preserve">, </w:t>
      </w:r>
      <w:r w:rsidR="00E55EB8" w:rsidRPr="00CD542C">
        <w:rPr>
          <w:rFonts w:ascii="Times New Roman" w:hAnsi="Times New Roman"/>
          <w:b/>
          <w:sz w:val="28"/>
          <w:szCs w:val="28"/>
        </w:rPr>
        <w:t>la conducta debe necesariamente contar con dicha intención</w:t>
      </w:r>
      <w:r w:rsidR="00EA2902" w:rsidRPr="00CD542C">
        <w:rPr>
          <w:rFonts w:ascii="Times New Roman" w:hAnsi="Times New Roman"/>
          <w:b/>
          <w:sz w:val="28"/>
          <w:szCs w:val="28"/>
        </w:rPr>
        <w:t xml:space="preserve"> de matar a una mujer por serlo o por motivos de su identidad de género</w:t>
      </w:r>
      <w:r w:rsidR="00EB7BE9" w:rsidRPr="00CD542C">
        <w:rPr>
          <w:rFonts w:ascii="Times New Roman" w:hAnsi="Times New Roman"/>
          <w:sz w:val="28"/>
          <w:szCs w:val="28"/>
        </w:rPr>
        <w:t xml:space="preserve"> (</w:t>
      </w:r>
      <w:r w:rsidR="00E068CE" w:rsidRPr="00CD542C">
        <w:rPr>
          <w:rFonts w:ascii="Times New Roman" w:hAnsi="Times New Roman"/>
          <w:sz w:val="28"/>
          <w:szCs w:val="28"/>
        </w:rPr>
        <w:t>dolo calificado</w:t>
      </w:r>
      <w:r w:rsidR="00EB7BE9" w:rsidRPr="00CD542C">
        <w:rPr>
          <w:rFonts w:ascii="Times New Roman" w:hAnsi="Times New Roman"/>
          <w:sz w:val="28"/>
          <w:szCs w:val="28"/>
        </w:rPr>
        <w:t>)</w:t>
      </w:r>
      <w:r w:rsidR="00E55EB8" w:rsidRPr="00CD542C">
        <w:rPr>
          <w:rFonts w:ascii="Times New Roman" w:hAnsi="Times New Roman"/>
          <w:sz w:val="28"/>
          <w:szCs w:val="28"/>
        </w:rPr>
        <w:t xml:space="preserve">. </w:t>
      </w:r>
    </w:p>
    <w:p w:rsidR="00E55EB8" w:rsidRPr="00CD542C" w:rsidRDefault="00E55EB8" w:rsidP="00CD542C">
      <w:pPr>
        <w:spacing w:after="0" w:line="240" w:lineRule="auto"/>
        <w:jc w:val="both"/>
        <w:rPr>
          <w:rFonts w:ascii="Times New Roman" w:hAnsi="Times New Roman"/>
          <w:sz w:val="28"/>
          <w:szCs w:val="28"/>
        </w:rPr>
      </w:pPr>
    </w:p>
    <w:p w:rsidR="00BF1CDB" w:rsidRPr="00CD542C" w:rsidRDefault="00BC5F9F"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En este sentido, </w:t>
      </w:r>
      <w:r w:rsidR="00536A56" w:rsidRPr="00CD542C">
        <w:rPr>
          <w:rFonts w:ascii="Times New Roman" w:hAnsi="Times New Roman"/>
          <w:i/>
          <w:sz w:val="28"/>
          <w:szCs w:val="28"/>
        </w:rPr>
        <w:t>“los antecedentes o indicios de cualquier tipo de violencia o amenaza de ésta”</w:t>
      </w:r>
      <w:r w:rsidR="00536A56" w:rsidRPr="00CD542C">
        <w:rPr>
          <w:rFonts w:ascii="Times New Roman" w:hAnsi="Times New Roman"/>
          <w:sz w:val="28"/>
          <w:szCs w:val="28"/>
        </w:rPr>
        <w:t xml:space="preserve"> a los que se refiere el literal e) acusado, son </w:t>
      </w:r>
      <w:r w:rsidR="000617A6" w:rsidRPr="00CD542C">
        <w:rPr>
          <w:rFonts w:ascii="Times New Roman" w:hAnsi="Times New Roman"/>
          <w:sz w:val="28"/>
          <w:szCs w:val="28"/>
        </w:rPr>
        <w:t xml:space="preserve">complementarios al hecho de matar a una mujer por el hecho de serlo o por su identidad de género, y se establecen como </w:t>
      </w:r>
      <w:r w:rsidR="00813199" w:rsidRPr="00CD542C">
        <w:rPr>
          <w:rFonts w:ascii="Times New Roman" w:hAnsi="Times New Roman"/>
          <w:sz w:val="28"/>
          <w:szCs w:val="28"/>
        </w:rPr>
        <w:t xml:space="preserve">situaciones </w:t>
      </w:r>
      <w:r w:rsidR="00BF1CDB" w:rsidRPr="00CD542C">
        <w:rPr>
          <w:rFonts w:ascii="Times New Roman" w:hAnsi="Times New Roman"/>
          <w:sz w:val="28"/>
          <w:szCs w:val="28"/>
        </w:rPr>
        <w:t xml:space="preserve">contextuales y sistemáticas, </w:t>
      </w:r>
      <w:r w:rsidR="00813199" w:rsidRPr="00CD542C">
        <w:rPr>
          <w:rFonts w:ascii="Times New Roman" w:hAnsi="Times New Roman"/>
          <w:sz w:val="28"/>
          <w:szCs w:val="28"/>
        </w:rPr>
        <w:t>que pueden ayudar a develar el elem</w:t>
      </w:r>
      <w:r w:rsidR="00BF1CDB" w:rsidRPr="00CD542C">
        <w:rPr>
          <w:rFonts w:ascii="Times New Roman" w:hAnsi="Times New Roman"/>
          <w:sz w:val="28"/>
          <w:szCs w:val="28"/>
        </w:rPr>
        <w:t xml:space="preserve">ento subjetivo del tipo penal.  </w:t>
      </w:r>
    </w:p>
    <w:p w:rsidR="00BC5F9F" w:rsidRPr="00CD542C" w:rsidRDefault="00BF1CDB"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 </w:t>
      </w:r>
    </w:p>
    <w:p w:rsidR="005500B2" w:rsidRPr="00CD542C" w:rsidRDefault="00E068CE" w:rsidP="00CD542C">
      <w:pPr>
        <w:spacing w:after="0" w:line="240" w:lineRule="auto"/>
        <w:jc w:val="both"/>
        <w:rPr>
          <w:rFonts w:ascii="Times New Roman" w:hAnsi="Times New Roman"/>
          <w:sz w:val="28"/>
          <w:szCs w:val="28"/>
        </w:rPr>
      </w:pPr>
      <w:r w:rsidRPr="00CD542C">
        <w:rPr>
          <w:rFonts w:ascii="Times New Roman" w:hAnsi="Times New Roman"/>
          <w:sz w:val="28"/>
          <w:szCs w:val="28"/>
        </w:rPr>
        <w:t>La</w:t>
      </w:r>
      <w:r w:rsidR="00E55EB8" w:rsidRPr="00CD542C">
        <w:rPr>
          <w:rFonts w:ascii="Times New Roman" w:hAnsi="Times New Roman"/>
          <w:sz w:val="28"/>
          <w:szCs w:val="28"/>
        </w:rPr>
        <w:t xml:space="preserve"> Sala considera que la última lectura es la única admisible </w:t>
      </w:r>
      <w:r w:rsidR="005500B2" w:rsidRPr="00CD542C">
        <w:rPr>
          <w:rFonts w:ascii="Times New Roman" w:hAnsi="Times New Roman"/>
          <w:sz w:val="28"/>
          <w:szCs w:val="28"/>
        </w:rPr>
        <w:t>consti</w:t>
      </w:r>
      <w:r w:rsidR="002B1163" w:rsidRPr="00CD542C">
        <w:rPr>
          <w:rFonts w:ascii="Times New Roman" w:hAnsi="Times New Roman"/>
          <w:sz w:val="28"/>
          <w:szCs w:val="28"/>
        </w:rPr>
        <w:t>tucional y legalmente por varias razones</w:t>
      </w:r>
      <w:r w:rsidR="00720871" w:rsidRPr="00CD542C">
        <w:rPr>
          <w:rFonts w:ascii="Times New Roman" w:hAnsi="Times New Roman"/>
          <w:sz w:val="28"/>
          <w:szCs w:val="28"/>
        </w:rPr>
        <w:t xml:space="preserve"> relacionadas con: </w:t>
      </w:r>
      <w:r w:rsidR="001D5DF5" w:rsidRPr="00CD542C">
        <w:rPr>
          <w:rFonts w:ascii="Times New Roman" w:hAnsi="Times New Roman"/>
          <w:sz w:val="28"/>
          <w:szCs w:val="28"/>
        </w:rPr>
        <w:t>(</w:t>
      </w:r>
      <w:r w:rsidR="00720871" w:rsidRPr="00CD542C">
        <w:rPr>
          <w:rFonts w:ascii="Times New Roman" w:hAnsi="Times New Roman"/>
          <w:sz w:val="28"/>
          <w:szCs w:val="28"/>
        </w:rPr>
        <w:t xml:space="preserve">i) la finalidad de la norma, </w:t>
      </w:r>
      <w:r w:rsidR="001D5DF5" w:rsidRPr="00CD542C">
        <w:rPr>
          <w:rFonts w:ascii="Times New Roman" w:hAnsi="Times New Roman"/>
          <w:sz w:val="28"/>
          <w:szCs w:val="28"/>
        </w:rPr>
        <w:t>(</w:t>
      </w:r>
      <w:r w:rsidR="00720871" w:rsidRPr="00CD542C">
        <w:rPr>
          <w:rFonts w:ascii="Times New Roman" w:hAnsi="Times New Roman"/>
          <w:sz w:val="28"/>
          <w:szCs w:val="28"/>
        </w:rPr>
        <w:t xml:space="preserve">ii) la definición técnica de feminicidio, </w:t>
      </w:r>
      <w:r w:rsidR="001D5DF5" w:rsidRPr="00CD542C">
        <w:rPr>
          <w:rFonts w:ascii="Times New Roman" w:hAnsi="Times New Roman"/>
          <w:sz w:val="28"/>
          <w:szCs w:val="28"/>
        </w:rPr>
        <w:t>(</w:t>
      </w:r>
      <w:r w:rsidR="00720871" w:rsidRPr="00CD542C">
        <w:rPr>
          <w:rFonts w:ascii="Times New Roman" w:hAnsi="Times New Roman"/>
          <w:sz w:val="28"/>
          <w:szCs w:val="28"/>
        </w:rPr>
        <w:t xml:space="preserve">iii) </w:t>
      </w:r>
      <w:r w:rsidR="00825492" w:rsidRPr="00CD542C">
        <w:rPr>
          <w:rFonts w:ascii="Times New Roman" w:hAnsi="Times New Roman"/>
          <w:sz w:val="28"/>
          <w:szCs w:val="28"/>
        </w:rPr>
        <w:t>el contexto de discriminación contra la mujer al interior de la administración de justicia.</w:t>
      </w:r>
      <w:r w:rsidR="001D5DF5" w:rsidRPr="00CD542C">
        <w:rPr>
          <w:rFonts w:ascii="Times New Roman" w:hAnsi="Times New Roman"/>
          <w:sz w:val="28"/>
          <w:szCs w:val="28"/>
        </w:rPr>
        <w:t xml:space="preserve"> Así:</w:t>
      </w:r>
      <w:r w:rsidR="005500B2" w:rsidRPr="00CD542C">
        <w:rPr>
          <w:rFonts w:ascii="Times New Roman" w:hAnsi="Times New Roman"/>
          <w:sz w:val="28"/>
          <w:szCs w:val="28"/>
        </w:rPr>
        <w:t xml:space="preserve"> </w:t>
      </w:r>
    </w:p>
    <w:p w:rsidR="005500B2" w:rsidRPr="00CD542C" w:rsidRDefault="005500B2" w:rsidP="00CD542C">
      <w:pPr>
        <w:spacing w:after="0" w:line="240" w:lineRule="auto"/>
        <w:jc w:val="both"/>
        <w:rPr>
          <w:rFonts w:ascii="Times New Roman" w:hAnsi="Times New Roman"/>
          <w:sz w:val="28"/>
          <w:szCs w:val="28"/>
        </w:rPr>
      </w:pPr>
    </w:p>
    <w:p w:rsidR="006A4F5B" w:rsidRPr="00CD542C" w:rsidRDefault="000E29B0" w:rsidP="00CD542C">
      <w:pPr>
        <w:spacing w:after="0" w:line="240" w:lineRule="auto"/>
        <w:jc w:val="both"/>
        <w:rPr>
          <w:rFonts w:ascii="Times New Roman" w:hAnsi="Times New Roman"/>
          <w:sz w:val="28"/>
          <w:szCs w:val="28"/>
        </w:rPr>
      </w:pPr>
      <w:r w:rsidRPr="00CD542C">
        <w:rPr>
          <w:rFonts w:ascii="Times New Roman" w:hAnsi="Times New Roman"/>
          <w:sz w:val="28"/>
          <w:szCs w:val="28"/>
        </w:rPr>
        <w:t>10</w:t>
      </w:r>
      <w:r w:rsidR="00423CB9" w:rsidRPr="00CD542C">
        <w:rPr>
          <w:rFonts w:ascii="Times New Roman" w:hAnsi="Times New Roman"/>
          <w:sz w:val="28"/>
          <w:szCs w:val="28"/>
        </w:rPr>
        <w:t xml:space="preserve">. </w:t>
      </w:r>
      <w:r w:rsidR="005500B2" w:rsidRPr="00CD542C">
        <w:rPr>
          <w:rFonts w:ascii="Times New Roman" w:hAnsi="Times New Roman"/>
          <w:sz w:val="28"/>
          <w:szCs w:val="28"/>
        </w:rPr>
        <w:t xml:space="preserve">En </w:t>
      </w:r>
      <w:r w:rsidR="005500B2" w:rsidRPr="00CD542C">
        <w:rPr>
          <w:rFonts w:ascii="Times New Roman" w:hAnsi="Times New Roman"/>
          <w:i/>
          <w:sz w:val="28"/>
          <w:szCs w:val="28"/>
        </w:rPr>
        <w:t>primer lugar</w:t>
      </w:r>
      <w:r w:rsidR="00DC055C" w:rsidRPr="00CD542C">
        <w:rPr>
          <w:rFonts w:ascii="Times New Roman" w:hAnsi="Times New Roman"/>
          <w:sz w:val="28"/>
          <w:szCs w:val="28"/>
        </w:rPr>
        <w:t xml:space="preserve">, en </w:t>
      </w:r>
      <w:r w:rsidR="006A4F5B" w:rsidRPr="00CD542C">
        <w:rPr>
          <w:rFonts w:ascii="Times New Roman" w:hAnsi="Times New Roman"/>
          <w:sz w:val="28"/>
          <w:szCs w:val="28"/>
        </w:rPr>
        <w:t xml:space="preserve">la exposición </w:t>
      </w:r>
      <w:r w:rsidR="00951ADA" w:rsidRPr="00CD542C">
        <w:rPr>
          <w:rFonts w:ascii="Times New Roman" w:hAnsi="Times New Roman"/>
          <w:sz w:val="28"/>
          <w:szCs w:val="28"/>
        </w:rPr>
        <w:t>de motivos de la l</w:t>
      </w:r>
      <w:r w:rsidR="00DC055C" w:rsidRPr="00CD542C">
        <w:rPr>
          <w:rFonts w:ascii="Times New Roman" w:hAnsi="Times New Roman"/>
          <w:sz w:val="28"/>
          <w:szCs w:val="28"/>
        </w:rPr>
        <w:t>ey se indica que la tipificación del feminicidio</w:t>
      </w:r>
      <w:r w:rsidR="003B432B" w:rsidRPr="00CD542C">
        <w:rPr>
          <w:rFonts w:ascii="Times New Roman" w:hAnsi="Times New Roman"/>
          <w:sz w:val="28"/>
          <w:szCs w:val="28"/>
        </w:rPr>
        <w:t xml:space="preserve"> era necesaria, pues hab</w:t>
      </w:r>
      <w:r w:rsidR="00860F1B" w:rsidRPr="00CD542C">
        <w:rPr>
          <w:rFonts w:ascii="Times New Roman" w:hAnsi="Times New Roman"/>
          <w:sz w:val="28"/>
          <w:szCs w:val="28"/>
        </w:rPr>
        <w:t xml:space="preserve">ía un </w:t>
      </w:r>
      <w:r w:rsidR="003B432B" w:rsidRPr="00CD542C">
        <w:rPr>
          <w:rFonts w:ascii="Times New Roman" w:hAnsi="Times New Roman"/>
          <w:sz w:val="28"/>
          <w:szCs w:val="28"/>
        </w:rPr>
        <w:t xml:space="preserve">vacío legal que impedía </w:t>
      </w:r>
      <w:r w:rsidR="00DC055C" w:rsidRPr="00CD542C">
        <w:rPr>
          <w:rFonts w:ascii="Times New Roman" w:hAnsi="Times New Roman"/>
          <w:sz w:val="28"/>
          <w:szCs w:val="28"/>
        </w:rPr>
        <w:t>sancionar la “</w:t>
      </w:r>
      <w:r w:rsidR="00DC055C" w:rsidRPr="00CD542C">
        <w:rPr>
          <w:rFonts w:ascii="Times New Roman" w:hAnsi="Times New Roman"/>
          <w:b/>
          <w:i/>
          <w:iCs/>
          <w:sz w:val="28"/>
          <w:szCs w:val="28"/>
        </w:rPr>
        <w:t>muerte dolosa de la mujer por el simple hecho de ser mujer</w:t>
      </w:r>
      <w:r w:rsidR="00DC055C" w:rsidRPr="00CD542C">
        <w:rPr>
          <w:rFonts w:ascii="Times New Roman" w:hAnsi="Times New Roman"/>
          <w:sz w:val="28"/>
          <w:szCs w:val="28"/>
        </w:rPr>
        <w:t>”</w:t>
      </w:r>
      <w:r w:rsidR="00DC055C" w:rsidRPr="00CD542C">
        <w:rPr>
          <w:rStyle w:val="Refdenotaalpie"/>
          <w:rFonts w:ascii="Times New Roman" w:hAnsi="Times New Roman"/>
          <w:sz w:val="28"/>
          <w:szCs w:val="28"/>
        </w:rPr>
        <w:footnoteReference w:id="19"/>
      </w:r>
      <w:r w:rsidR="00DC055C" w:rsidRPr="00CD542C">
        <w:rPr>
          <w:rFonts w:ascii="Times New Roman" w:hAnsi="Times New Roman"/>
          <w:sz w:val="28"/>
          <w:szCs w:val="28"/>
        </w:rPr>
        <w:t>.</w:t>
      </w:r>
      <w:r w:rsidR="001D5DF5" w:rsidRPr="00CD542C">
        <w:rPr>
          <w:rFonts w:ascii="Times New Roman" w:hAnsi="Times New Roman"/>
          <w:sz w:val="28"/>
          <w:szCs w:val="28"/>
        </w:rPr>
        <w:t xml:space="preserve"> </w:t>
      </w:r>
      <w:r w:rsidR="00075710" w:rsidRPr="00CD542C">
        <w:rPr>
          <w:rFonts w:ascii="Times New Roman" w:hAnsi="Times New Roman"/>
          <w:sz w:val="28"/>
          <w:szCs w:val="28"/>
        </w:rPr>
        <w:t>En ese sentido, a</w:t>
      </w:r>
      <w:r w:rsidR="006A4F5B" w:rsidRPr="00CD542C">
        <w:rPr>
          <w:rFonts w:ascii="Times New Roman" w:hAnsi="Times New Roman"/>
          <w:sz w:val="28"/>
          <w:szCs w:val="28"/>
        </w:rPr>
        <w:t xml:space="preserve">parece claro que la </w:t>
      </w:r>
      <w:r w:rsidR="000F5732" w:rsidRPr="00CD542C">
        <w:rPr>
          <w:rFonts w:ascii="Times New Roman" w:hAnsi="Times New Roman"/>
          <w:b/>
          <w:sz w:val="28"/>
          <w:szCs w:val="28"/>
        </w:rPr>
        <w:t>(i)</w:t>
      </w:r>
      <w:r w:rsidR="000F5732" w:rsidRPr="00CD542C">
        <w:rPr>
          <w:rFonts w:ascii="Times New Roman" w:hAnsi="Times New Roman"/>
          <w:sz w:val="28"/>
          <w:szCs w:val="28"/>
        </w:rPr>
        <w:t xml:space="preserve"> </w:t>
      </w:r>
      <w:r w:rsidR="006A4F5B" w:rsidRPr="00CD542C">
        <w:rPr>
          <w:rFonts w:ascii="Times New Roman" w:hAnsi="Times New Roman"/>
          <w:b/>
          <w:sz w:val="28"/>
          <w:szCs w:val="28"/>
        </w:rPr>
        <w:t>finalidad</w:t>
      </w:r>
      <w:r w:rsidR="000F5732" w:rsidRPr="00CD542C">
        <w:rPr>
          <w:rFonts w:ascii="Times New Roman" w:hAnsi="Times New Roman"/>
          <w:b/>
          <w:sz w:val="28"/>
          <w:szCs w:val="28"/>
        </w:rPr>
        <w:t xml:space="preserve"> </w:t>
      </w:r>
      <w:r w:rsidR="006A4F5B" w:rsidRPr="00CD542C">
        <w:rPr>
          <w:rFonts w:ascii="Times New Roman" w:hAnsi="Times New Roman"/>
          <w:sz w:val="28"/>
          <w:szCs w:val="28"/>
        </w:rPr>
        <w:t xml:space="preserve">de </w:t>
      </w:r>
      <w:r w:rsidR="00D340DD" w:rsidRPr="00CD542C">
        <w:rPr>
          <w:rFonts w:ascii="Times New Roman" w:hAnsi="Times New Roman"/>
          <w:sz w:val="28"/>
          <w:szCs w:val="28"/>
        </w:rPr>
        <w:t xml:space="preserve">esta norma, además de llenar ese vacío legal, era </w:t>
      </w:r>
      <w:r w:rsidR="006A4F5B" w:rsidRPr="00CD542C">
        <w:rPr>
          <w:rFonts w:ascii="Times New Roman" w:hAnsi="Times New Roman"/>
          <w:sz w:val="28"/>
          <w:szCs w:val="28"/>
        </w:rPr>
        <w:t xml:space="preserve">cumplir con la obligación del Estado colombiano respecto del deber de debida diligencia en la </w:t>
      </w:r>
      <w:r w:rsidR="006A4F5B" w:rsidRPr="00CD542C">
        <w:rPr>
          <w:rFonts w:ascii="Times New Roman" w:hAnsi="Times New Roman"/>
          <w:b/>
          <w:i/>
          <w:sz w:val="28"/>
          <w:szCs w:val="28"/>
        </w:rPr>
        <w:t>prevención, investigación y sanción de la violencia contra la mujer</w:t>
      </w:r>
      <w:r w:rsidR="006A4F5B" w:rsidRPr="00CD542C">
        <w:rPr>
          <w:rFonts w:ascii="Times New Roman" w:hAnsi="Times New Roman"/>
          <w:sz w:val="28"/>
          <w:szCs w:val="28"/>
        </w:rPr>
        <w:t>; así como, con la obliga</w:t>
      </w:r>
      <w:r w:rsidR="00951ADA" w:rsidRPr="00CD542C">
        <w:rPr>
          <w:rFonts w:ascii="Times New Roman" w:hAnsi="Times New Roman"/>
          <w:sz w:val="28"/>
          <w:szCs w:val="28"/>
        </w:rPr>
        <w:t>ción de garantizar el derecho de</w:t>
      </w:r>
      <w:r w:rsidR="006A4F5B" w:rsidRPr="00CD542C">
        <w:rPr>
          <w:rFonts w:ascii="Times New Roman" w:hAnsi="Times New Roman"/>
          <w:sz w:val="28"/>
          <w:szCs w:val="28"/>
        </w:rPr>
        <w:t xml:space="preserve"> acceso a la justicia de las mujeres</w:t>
      </w:r>
      <w:r w:rsidR="00951ADA" w:rsidRPr="00CD542C">
        <w:rPr>
          <w:rFonts w:ascii="Times New Roman" w:hAnsi="Times New Roman"/>
          <w:sz w:val="28"/>
          <w:szCs w:val="28"/>
        </w:rPr>
        <w:t xml:space="preserve"> víctimas</w:t>
      </w:r>
      <w:r w:rsidR="006A4F5B" w:rsidRPr="00CD542C">
        <w:rPr>
          <w:rFonts w:ascii="Times New Roman" w:hAnsi="Times New Roman"/>
          <w:sz w:val="28"/>
          <w:szCs w:val="28"/>
        </w:rPr>
        <w:t xml:space="preserve">. </w:t>
      </w:r>
      <w:r w:rsidR="00075710" w:rsidRPr="00CD542C">
        <w:rPr>
          <w:rFonts w:ascii="Times New Roman" w:hAnsi="Times New Roman"/>
          <w:sz w:val="28"/>
          <w:szCs w:val="28"/>
        </w:rPr>
        <w:t>L</w:t>
      </w:r>
      <w:r w:rsidR="006A4F5B" w:rsidRPr="00CD542C">
        <w:rPr>
          <w:rFonts w:ascii="Times New Roman" w:hAnsi="Times New Roman"/>
          <w:sz w:val="28"/>
          <w:szCs w:val="28"/>
        </w:rPr>
        <w:t>a tipificación del delito buscó la “</w:t>
      </w:r>
      <w:r w:rsidR="006A4F5B" w:rsidRPr="00CD542C">
        <w:rPr>
          <w:rFonts w:ascii="Times New Roman" w:hAnsi="Times New Roman"/>
          <w:i/>
          <w:iCs/>
          <w:sz w:val="28"/>
          <w:szCs w:val="28"/>
        </w:rPr>
        <w:t>institucionalización de acceso a un recurso judicial efectivo de protección</w:t>
      </w:r>
      <w:r w:rsidR="006A4F5B" w:rsidRPr="00CD542C">
        <w:rPr>
          <w:rFonts w:ascii="Times New Roman" w:hAnsi="Times New Roman"/>
          <w:sz w:val="28"/>
          <w:szCs w:val="28"/>
        </w:rPr>
        <w:t>”</w:t>
      </w:r>
      <w:r w:rsidR="006A4F5B" w:rsidRPr="00CD542C">
        <w:rPr>
          <w:rStyle w:val="Refdenotaalpie"/>
          <w:rFonts w:ascii="Times New Roman" w:hAnsi="Times New Roman"/>
          <w:sz w:val="28"/>
          <w:szCs w:val="28"/>
        </w:rPr>
        <w:footnoteReference w:id="20"/>
      </w:r>
      <w:r w:rsidR="006A4F5B" w:rsidRPr="00CD542C">
        <w:rPr>
          <w:rFonts w:ascii="Times New Roman" w:hAnsi="Times New Roman"/>
          <w:sz w:val="28"/>
          <w:szCs w:val="28"/>
        </w:rPr>
        <w:t>.</w:t>
      </w:r>
    </w:p>
    <w:p w:rsidR="00423CB9" w:rsidRPr="00CD542C" w:rsidRDefault="00423CB9" w:rsidP="00CD542C">
      <w:pPr>
        <w:spacing w:after="0" w:line="240" w:lineRule="auto"/>
        <w:jc w:val="both"/>
        <w:rPr>
          <w:rFonts w:ascii="Times New Roman" w:hAnsi="Times New Roman"/>
          <w:sz w:val="28"/>
          <w:szCs w:val="28"/>
        </w:rPr>
      </w:pPr>
    </w:p>
    <w:p w:rsidR="00423CB9" w:rsidRPr="00CD542C" w:rsidRDefault="00423CB9"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Así mismo, se extrae que el tipo penal de feminicidio respondió a la necesidad de crear marcos jurídicos que evaluaran la violencia contra las mujeres, </w:t>
      </w:r>
      <w:r w:rsidRPr="00CD542C">
        <w:rPr>
          <w:rFonts w:ascii="Times New Roman" w:hAnsi="Times New Roman"/>
          <w:b/>
          <w:sz w:val="28"/>
          <w:szCs w:val="28"/>
        </w:rPr>
        <w:t>en su dimensión sistemática y estructural</w:t>
      </w:r>
      <w:r w:rsidRPr="00CD542C">
        <w:rPr>
          <w:rStyle w:val="Refdenotaalpie"/>
          <w:rFonts w:ascii="Times New Roman" w:hAnsi="Times New Roman"/>
          <w:sz w:val="28"/>
          <w:szCs w:val="28"/>
        </w:rPr>
        <w:footnoteReference w:id="21"/>
      </w:r>
      <w:r w:rsidRPr="00CD542C">
        <w:rPr>
          <w:rFonts w:ascii="Times New Roman" w:hAnsi="Times New Roman"/>
          <w:sz w:val="28"/>
          <w:szCs w:val="28"/>
        </w:rPr>
        <w:t xml:space="preserve">. Por tanto se estableció que este es un tipo penal pluriofensivo que </w:t>
      </w:r>
      <w:r w:rsidR="000F5732" w:rsidRPr="00CD542C">
        <w:rPr>
          <w:rFonts w:ascii="Times New Roman" w:hAnsi="Times New Roman"/>
          <w:sz w:val="28"/>
          <w:szCs w:val="28"/>
        </w:rPr>
        <w:t>responde</w:t>
      </w:r>
      <w:r w:rsidRPr="00CD542C">
        <w:rPr>
          <w:rFonts w:ascii="Times New Roman" w:hAnsi="Times New Roman"/>
          <w:sz w:val="28"/>
          <w:szCs w:val="28"/>
        </w:rPr>
        <w:t xml:space="preserve"> a la realidad de que la violencia contra </w:t>
      </w:r>
      <w:r w:rsidRPr="00CD542C">
        <w:rPr>
          <w:rFonts w:ascii="Times New Roman" w:hAnsi="Times New Roman"/>
          <w:sz w:val="28"/>
          <w:szCs w:val="28"/>
        </w:rPr>
        <w:lastRenderedPageBreak/>
        <w:t xml:space="preserve">la mujer </w:t>
      </w:r>
      <w:r w:rsidRPr="00CD542C">
        <w:rPr>
          <w:rFonts w:ascii="Times New Roman" w:hAnsi="Times New Roman"/>
          <w:b/>
          <w:sz w:val="28"/>
          <w:szCs w:val="28"/>
        </w:rPr>
        <w:t>no es un hecho fortuito y aislado sino un hecho generalizado y sistemático</w:t>
      </w:r>
      <w:r w:rsidR="00312EB3" w:rsidRPr="00CD542C">
        <w:rPr>
          <w:rStyle w:val="Refdenotaalpie"/>
          <w:rFonts w:ascii="Times New Roman" w:hAnsi="Times New Roman"/>
          <w:b/>
          <w:sz w:val="28"/>
          <w:szCs w:val="28"/>
        </w:rPr>
        <w:footnoteReference w:id="22"/>
      </w:r>
      <w:r w:rsidRPr="00CD542C">
        <w:rPr>
          <w:rFonts w:ascii="Times New Roman" w:hAnsi="Times New Roman"/>
          <w:sz w:val="28"/>
          <w:szCs w:val="28"/>
        </w:rPr>
        <w:t>, que afecta diversos bienes jurídicos como la vida, “</w:t>
      </w:r>
      <w:r w:rsidRPr="00CD542C">
        <w:rPr>
          <w:rFonts w:ascii="Times New Roman" w:hAnsi="Times New Roman"/>
          <w:i/>
          <w:iCs/>
          <w:sz w:val="28"/>
          <w:szCs w:val="28"/>
        </w:rPr>
        <w:t>la dignidad humana, la igualdad, la no discriminación y el libre desarrollo de la personalidad</w:t>
      </w:r>
      <w:r w:rsidRPr="00CD542C">
        <w:rPr>
          <w:rFonts w:ascii="Times New Roman" w:hAnsi="Times New Roman"/>
          <w:sz w:val="28"/>
          <w:szCs w:val="28"/>
        </w:rPr>
        <w:t>”</w:t>
      </w:r>
      <w:r w:rsidRPr="00CD542C">
        <w:rPr>
          <w:rStyle w:val="Refdenotaalpie"/>
          <w:rFonts w:ascii="Times New Roman" w:hAnsi="Times New Roman"/>
          <w:sz w:val="28"/>
          <w:szCs w:val="28"/>
        </w:rPr>
        <w:footnoteReference w:id="23"/>
      </w:r>
      <w:r w:rsidRPr="00CD542C">
        <w:rPr>
          <w:rFonts w:ascii="Times New Roman" w:hAnsi="Times New Roman"/>
          <w:sz w:val="28"/>
          <w:szCs w:val="28"/>
        </w:rPr>
        <w:t>.</w:t>
      </w:r>
    </w:p>
    <w:p w:rsidR="00DC055C" w:rsidRPr="00CD542C" w:rsidRDefault="00DC055C" w:rsidP="00CD542C">
      <w:pPr>
        <w:spacing w:after="0" w:line="240" w:lineRule="auto"/>
        <w:jc w:val="both"/>
        <w:rPr>
          <w:rFonts w:ascii="Times New Roman" w:hAnsi="Times New Roman"/>
          <w:sz w:val="28"/>
          <w:szCs w:val="28"/>
        </w:rPr>
      </w:pPr>
    </w:p>
    <w:p w:rsidR="006A4F5B" w:rsidRPr="00CD542C" w:rsidRDefault="000E29B0" w:rsidP="00CD542C">
      <w:pPr>
        <w:spacing w:after="0" w:line="240" w:lineRule="auto"/>
        <w:jc w:val="both"/>
        <w:rPr>
          <w:rFonts w:ascii="Times New Roman" w:hAnsi="Times New Roman"/>
          <w:sz w:val="28"/>
          <w:szCs w:val="28"/>
        </w:rPr>
      </w:pPr>
      <w:r w:rsidRPr="00CD542C">
        <w:rPr>
          <w:rFonts w:ascii="Times New Roman" w:hAnsi="Times New Roman"/>
          <w:sz w:val="28"/>
          <w:szCs w:val="28"/>
        </w:rPr>
        <w:t>11</w:t>
      </w:r>
      <w:r w:rsidR="007F4A4A" w:rsidRPr="00CD542C">
        <w:rPr>
          <w:rFonts w:ascii="Times New Roman" w:hAnsi="Times New Roman"/>
          <w:sz w:val="28"/>
          <w:szCs w:val="28"/>
        </w:rPr>
        <w:t xml:space="preserve">. </w:t>
      </w:r>
      <w:r w:rsidR="00A744E7" w:rsidRPr="00CD542C">
        <w:rPr>
          <w:rFonts w:ascii="Times New Roman" w:hAnsi="Times New Roman"/>
          <w:sz w:val="28"/>
          <w:szCs w:val="28"/>
        </w:rPr>
        <w:t xml:space="preserve">En </w:t>
      </w:r>
      <w:r w:rsidR="00A744E7" w:rsidRPr="00CD542C">
        <w:rPr>
          <w:rFonts w:ascii="Times New Roman" w:hAnsi="Times New Roman"/>
          <w:i/>
          <w:sz w:val="28"/>
          <w:szCs w:val="28"/>
        </w:rPr>
        <w:t>segundo lugar</w:t>
      </w:r>
      <w:r w:rsidR="006A4F5B" w:rsidRPr="00CD542C">
        <w:rPr>
          <w:rFonts w:ascii="Times New Roman" w:hAnsi="Times New Roman"/>
          <w:i/>
          <w:sz w:val="28"/>
          <w:szCs w:val="28"/>
        </w:rPr>
        <w:t>,</w:t>
      </w:r>
      <w:r w:rsidR="006A4F5B" w:rsidRPr="00CD542C">
        <w:rPr>
          <w:rFonts w:ascii="Times New Roman" w:hAnsi="Times New Roman"/>
          <w:sz w:val="28"/>
          <w:szCs w:val="28"/>
        </w:rPr>
        <w:t xml:space="preserve"> al </w:t>
      </w:r>
      <w:r w:rsidR="000F5732" w:rsidRPr="00CD542C">
        <w:rPr>
          <w:rFonts w:ascii="Times New Roman" w:hAnsi="Times New Roman"/>
          <w:b/>
          <w:sz w:val="28"/>
          <w:szCs w:val="28"/>
        </w:rPr>
        <w:t>(ii)</w:t>
      </w:r>
      <w:r w:rsidR="000F5732" w:rsidRPr="00CD542C">
        <w:rPr>
          <w:rFonts w:ascii="Times New Roman" w:hAnsi="Times New Roman"/>
          <w:sz w:val="28"/>
          <w:szCs w:val="28"/>
        </w:rPr>
        <w:t xml:space="preserve"> </w:t>
      </w:r>
      <w:r w:rsidR="006A4F5B" w:rsidRPr="00CD542C">
        <w:rPr>
          <w:rFonts w:ascii="Times New Roman" w:hAnsi="Times New Roman"/>
          <w:b/>
          <w:sz w:val="28"/>
          <w:szCs w:val="28"/>
        </w:rPr>
        <w:t>definir el feminicidio</w:t>
      </w:r>
      <w:r w:rsidR="00A744E7" w:rsidRPr="00CD542C">
        <w:rPr>
          <w:rFonts w:ascii="Times New Roman" w:hAnsi="Times New Roman"/>
          <w:sz w:val="28"/>
          <w:szCs w:val="28"/>
        </w:rPr>
        <w:t xml:space="preserve">, en la exposición de motivos, se </w:t>
      </w:r>
      <w:r w:rsidR="006A4F5B" w:rsidRPr="00CD542C">
        <w:rPr>
          <w:rFonts w:ascii="Times New Roman" w:hAnsi="Times New Roman"/>
          <w:sz w:val="28"/>
          <w:szCs w:val="28"/>
        </w:rPr>
        <w:t>explicó que éste se refiere “</w:t>
      </w:r>
      <w:r w:rsidR="006A4F5B" w:rsidRPr="00CD542C">
        <w:rPr>
          <w:rFonts w:ascii="Times New Roman" w:hAnsi="Times New Roman"/>
          <w:i/>
          <w:iCs/>
          <w:sz w:val="28"/>
          <w:szCs w:val="28"/>
        </w:rPr>
        <w:t xml:space="preserve">al tipo penal que castiga los homicidios de mujeres </w:t>
      </w:r>
      <w:r w:rsidR="006A4F5B" w:rsidRPr="00CD542C">
        <w:rPr>
          <w:rFonts w:ascii="Times New Roman" w:hAnsi="Times New Roman"/>
          <w:b/>
          <w:i/>
          <w:iCs/>
          <w:sz w:val="28"/>
          <w:szCs w:val="28"/>
        </w:rPr>
        <w:t>por el hecho de ser tales en un contexto social y cultural que las ubica en posiciones, roles o funciones subordinadas</w:t>
      </w:r>
      <w:r w:rsidR="006A4F5B" w:rsidRPr="00CD542C">
        <w:rPr>
          <w:rFonts w:ascii="Times New Roman" w:hAnsi="Times New Roman"/>
          <w:i/>
          <w:iCs/>
          <w:sz w:val="28"/>
          <w:szCs w:val="28"/>
        </w:rPr>
        <w:t>, contexto que favorece y las expone a múltiples formas de violencia</w:t>
      </w:r>
      <w:r w:rsidR="006A4F5B" w:rsidRPr="00CD542C">
        <w:rPr>
          <w:rFonts w:ascii="Times New Roman" w:hAnsi="Times New Roman"/>
          <w:sz w:val="28"/>
          <w:szCs w:val="28"/>
        </w:rPr>
        <w:t>”</w:t>
      </w:r>
      <w:r w:rsidR="006A4F5B" w:rsidRPr="00CD542C">
        <w:rPr>
          <w:rStyle w:val="Refdenotaalpie"/>
          <w:rFonts w:ascii="Times New Roman" w:hAnsi="Times New Roman"/>
          <w:sz w:val="28"/>
          <w:szCs w:val="28"/>
        </w:rPr>
        <w:footnoteReference w:id="24"/>
      </w:r>
      <w:r w:rsidR="006A4F5B" w:rsidRPr="00CD542C">
        <w:rPr>
          <w:rFonts w:ascii="Times New Roman" w:hAnsi="Times New Roman"/>
          <w:sz w:val="28"/>
          <w:szCs w:val="28"/>
        </w:rPr>
        <w:t>. Para definir la violencia, se reseñó el artículo 1º de la Convención de Belém do Pará que “</w:t>
      </w:r>
      <w:r w:rsidR="006A4F5B" w:rsidRPr="00CD542C">
        <w:rPr>
          <w:rFonts w:ascii="Times New Roman" w:hAnsi="Times New Roman"/>
          <w:i/>
          <w:iCs/>
          <w:sz w:val="28"/>
          <w:szCs w:val="28"/>
        </w:rPr>
        <w:t xml:space="preserve">señala que debe entenderse por violencia contra la mujer </w:t>
      </w:r>
      <w:r w:rsidR="006A4F5B" w:rsidRPr="00CD542C">
        <w:rPr>
          <w:rFonts w:ascii="Times New Roman" w:hAnsi="Times New Roman"/>
          <w:b/>
          <w:i/>
          <w:iCs/>
          <w:sz w:val="28"/>
          <w:szCs w:val="28"/>
        </w:rPr>
        <w:t>cualquier acción o conducta, basada en su género</w:t>
      </w:r>
      <w:r w:rsidR="006A4F5B" w:rsidRPr="00CD542C">
        <w:rPr>
          <w:rFonts w:ascii="Times New Roman" w:hAnsi="Times New Roman"/>
          <w:i/>
          <w:iCs/>
          <w:sz w:val="28"/>
          <w:szCs w:val="28"/>
        </w:rPr>
        <w:t>, que cause muerte, daño o sufrimiento físico, sexual o psicológico a la mujer, tanto en el ámbito público como en el privado</w:t>
      </w:r>
      <w:r w:rsidR="006A4F5B" w:rsidRPr="00CD542C">
        <w:rPr>
          <w:rFonts w:ascii="Times New Roman" w:hAnsi="Times New Roman"/>
          <w:sz w:val="28"/>
          <w:szCs w:val="28"/>
        </w:rPr>
        <w:t>”</w:t>
      </w:r>
      <w:r w:rsidR="006A4F5B" w:rsidRPr="00CD542C">
        <w:rPr>
          <w:rStyle w:val="Refdenotaalpie"/>
          <w:rFonts w:ascii="Times New Roman" w:hAnsi="Times New Roman"/>
          <w:sz w:val="28"/>
          <w:szCs w:val="28"/>
        </w:rPr>
        <w:footnoteReference w:id="25"/>
      </w:r>
      <w:r w:rsidR="006A4F5B" w:rsidRPr="00CD542C">
        <w:rPr>
          <w:rFonts w:ascii="Times New Roman" w:hAnsi="Times New Roman"/>
          <w:sz w:val="28"/>
          <w:szCs w:val="28"/>
        </w:rPr>
        <w:t xml:space="preserve">. </w:t>
      </w:r>
      <w:r w:rsidR="00701773" w:rsidRPr="00CD542C">
        <w:rPr>
          <w:rFonts w:ascii="Times New Roman" w:hAnsi="Times New Roman"/>
          <w:sz w:val="28"/>
          <w:szCs w:val="28"/>
        </w:rPr>
        <w:t xml:space="preserve">Puntalmente se afirmó: </w:t>
      </w:r>
    </w:p>
    <w:p w:rsidR="006A4F5B" w:rsidRPr="00CD542C" w:rsidRDefault="006A4F5B" w:rsidP="00CD542C">
      <w:pPr>
        <w:spacing w:after="0" w:line="240" w:lineRule="auto"/>
        <w:ind w:left="283" w:right="283"/>
        <w:jc w:val="both"/>
        <w:rPr>
          <w:rFonts w:ascii="Times New Roman" w:hAnsi="Times New Roman"/>
          <w:sz w:val="28"/>
          <w:szCs w:val="28"/>
        </w:rPr>
      </w:pPr>
    </w:p>
    <w:p w:rsidR="006A4F5B" w:rsidRPr="00CD542C" w:rsidRDefault="006A4F5B" w:rsidP="00CD542C">
      <w:pPr>
        <w:spacing w:after="0" w:line="240" w:lineRule="auto"/>
        <w:ind w:left="283" w:right="283"/>
        <w:jc w:val="both"/>
        <w:rPr>
          <w:rFonts w:ascii="Times New Roman" w:hAnsi="Times New Roman"/>
          <w:i/>
          <w:iCs/>
          <w:sz w:val="28"/>
          <w:szCs w:val="28"/>
        </w:rPr>
      </w:pPr>
      <w:r w:rsidRPr="00CD542C">
        <w:rPr>
          <w:rFonts w:ascii="Times New Roman" w:hAnsi="Times New Roman"/>
          <w:sz w:val="28"/>
          <w:szCs w:val="28"/>
        </w:rPr>
        <w:t>“</w:t>
      </w:r>
      <w:r w:rsidRPr="00CD542C">
        <w:rPr>
          <w:rFonts w:ascii="Times New Roman" w:hAnsi="Times New Roman"/>
          <w:i/>
          <w:iCs/>
          <w:sz w:val="28"/>
          <w:szCs w:val="28"/>
        </w:rPr>
        <w:t>El concepto dogmático de feminicidio consiste en</w:t>
      </w:r>
      <w:r w:rsidRPr="00CD542C">
        <w:rPr>
          <w:rFonts w:ascii="Times New Roman" w:hAnsi="Times New Roman"/>
          <w:sz w:val="28"/>
          <w:szCs w:val="28"/>
        </w:rPr>
        <w:t xml:space="preserve"> </w:t>
      </w:r>
      <w:r w:rsidRPr="00CD542C">
        <w:rPr>
          <w:rFonts w:ascii="Times New Roman" w:hAnsi="Times New Roman"/>
          <w:i/>
          <w:iCs/>
          <w:sz w:val="28"/>
          <w:szCs w:val="28"/>
        </w:rPr>
        <w:t>la supresión por conducta del autor, de la vida de una mujer (tipicidad), sin justificación jurídicamente atendible (antijuridicidad), en forma intencional o dolosa, observándose una relación de causalidad entre la conducta del agente y el resultado de muerte en la mujer.</w:t>
      </w:r>
    </w:p>
    <w:p w:rsidR="006A4F5B" w:rsidRPr="00CD542C" w:rsidRDefault="006A4F5B" w:rsidP="00CD542C">
      <w:pPr>
        <w:spacing w:after="0" w:line="240" w:lineRule="auto"/>
        <w:ind w:left="283" w:right="283"/>
        <w:jc w:val="both"/>
        <w:rPr>
          <w:rFonts w:ascii="Times New Roman" w:hAnsi="Times New Roman"/>
          <w:i/>
          <w:iCs/>
          <w:sz w:val="28"/>
          <w:szCs w:val="28"/>
        </w:rPr>
      </w:pPr>
    </w:p>
    <w:p w:rsidR="006A4F5B" w:rsidRPr="00CD542C" w:rsidRDefault="006A4F5B" w:rsidP="00CD542C">
      <w:pPr>
        <w:spacing w:after="0" w:line="240" w:lineRule="auto"/>
        <w:ind w:left="283" w:right="283"/>
        <w:jc w:val="both"/>
        <w:rPr>
          <w:rFonts w:ascii="Times New Roman" w:hAnsi="Times New Roman"/>
          <w:i/>
          <w:iCs/>
          <w:sz w:val="28"/>
          <w:szCs w:val="28"/>
        </w:rPr>
      </w:pPr>
      <w:r w:rsidRPr="00CD542C">
        <w:rPr>
          <w:rFonts w:ascii="Times New Roman" w:hAnsi="Times New Roman"/>
          <w:b/>
          <w:i/>
          <w:iCs/>
          <w:sz w:val="28"/>
          <w:szCs w:val="28"/>
        </w:rPr>
        <w:t>Este tipo penal se diferencia del homicidio en las motivaciones del autor</w:t>
      </w:r>
      <w:r w:rsidRPr="00CD542C">
        <w:rPr>
          <w:rFonts w:ascii="Times New Roman" w:hAnsi="Times New Roman"/>
          <w:i/>
          <w:iCs/>
          <w:sz w:val="28"/>
          <w:szCs w:val="28"/>
        </w:rPr>
        <w:t>, en tanto se basa en una ideología discriminatoria fundamentada en la desvalorización de la condición humana y social de la mujer, y por tanto en imaginarios de superioridad y legitimación para ejercer sobre ellas actos de control, castigo y subordinación.</w:t>
      </w:r>
    </w:p>
    <w:p w:rsidR="006A4F5B" w:rsidRPr="00CD542C" w:rsidRDefault="006A4F5B" w:rsidP="00CD542C">
      <w:pPr>
        <w:spacing w:after="0" w:line="240" w:lineRule="auto"/>
        <w:ind w:left="283" w:right="283"/>
        <w:jc w:val="both"/>
        <w:rPr>
          <w:rFonts w:ascii="Times New Roman" w:hAnsi="Times New Roman"/>
          <w:i/>
          <w:iCs/>
          <w:sz w:val="28"/>
          <w:szCs w:val="28"/>
        </w:rPr>
      </w:pPr>
    </w:p>
    <w:p w:rsidR="006A4F5B" w:rsidRPr="00CD542C" w:rsidRDefault="00701773" w:rsidP="00CD542C">
      <w:pPr>
        <w:spacing w:after="0" w:line="240" w:lineRule="auto"/>
        <w:ind w:left="283" w:right="283"/>
        <w:jc w:val="both"/>
        <w:rPr>
          <w:rFonts w:ascii="Times New Roman" w:hAnsi="Times New Roman"/>
          <w:sz w:val="28"/>
          <w:szCs w:val="28"/>
        </w:rPr>
      </w:pPr>
      <w:r w:rsidRPr="00CD542C">
        <w:rPr>
          <w:rFonts w:ascii="Times New Roman" w:hAnsi="Times New Roman"/>
          <w:i/>
          <w:iCs/>
          <w:sz w:val="28"/>
          <w:szCs w:val="28"/>
        </w:rPr>
        <w:t>El f</w:t>
      </w:r>
      <w:r w:rsidR="006A4F5B" w:rsidRPr="00CD542C">
        <w:rPr>
          <w:rFonts w:ascii="Times New Roman" w:hAnsi="Times New Roman"/>
          <w:i/>
          <w:iCs/>
          <w:sz w:val="28"/>
          <w:szCs w:val="28"/>
        </w:rPr>
        <w:t xml:space="preserve">eminicidio, </w:t>
      </w:r>
      <w:r w:rsidR="006A4F5B" w:rsidRPr="00CD542C">
        <w:rPr>
          <w:rFonts w:ascii="Times New Roman" w:hAnsi="Times New Roman"/>
          <w:b/>
          <w:i/>
          <w:iCs/>
          <w:sz w:val="28"/>
          <w:szCs w:val="28"/>
        </w:rPr>
        <w:t>no puede seguir siendo considerado un hecho aislado,</w:t>
      </w:r>
      <w:r w:rsidR="006A4F5B" w:rsidRPr="00CD542C">
        <w:rPr>
          <w:rFonts w:ascii="Times New Roman" w:hAnsi="Times New Roman"/>
          <w:i/>
          <w:iCs/>
          <w:sz w:val="28"/>
          <w:szCs w:val="28"/>
        </w:rPr>
        <w:t xml:space="preserve"> </w:t>
      </w:r>
      <w:r w:rsidR="006A4F5B" w:rsidRPr="00CD542C">
        <w:rPr>
          <w:rFonts w:ascii="Times New Roman" w:hAnsi="Times New Roman"/>
          <w:b/>
          <w:i/>
          <w:iCs/>
          <w:sz w:val="28"/>
          <w:szCs w:val="28"/>
        </w:rPr>
        <w:t>fortuito, excepcional, o un acto pasional</w:t>
      </w:r>
      <w:r w:rsidR="006A4F5B" w:rsidRPr="00CD542C">
        <w:rPr>
          <w:rFonts w:ascii="Times New Roman" w:hAnsi="Times New Roman"/>
          <w:i/>
          <w:iCs/>
          <w:sz w:val="28"/>
          <w:szCs w:val="28"/>
        </w:rPr>
        <w:t xml:space="preserve">, por tanto debe dársele la importancia legislativa que merece, como la real manifestación de la </w:t>
      </w:r>
      <w:r w:rsidR="006A4F5B" w:rsidRPr="00CD542C">
        <w:rPr>
          <w:rFonts w:ascii="Times New Roman" w:hAnsi="Times New Roman"/>
          <w:i/>
          <w:iCs/>
          <w:sz w:val="28"/>
          <w:szCs w:val="28"/>
        </w:rPr>
        <w:lastRenderedPageBreak/>
        <w:t>opresión y el eslabón final del continuum de las violencias contra las mujeres que culminan con la muerte; contentivos de ciclos de violencia basadas en relaciones de dominación y subordinación afirmadas por la sociedad patriarcal, que impone un deber ser a las mujeres por su condición de mujeres, tanto en los ámbitos públicos y privados, a través de prácticas sociales y políticas, sistemáticas y generalizadas para controlar, limitar, intimidar, amenazar, silenciar y someterlas, impidiendo el ejercicio de sus libertades y el goce efectivo de sus derechos</w:t>
      </w:r>
      <w:r w:rsidR="006A4F5B" w:rsidRPr="00CD542C">
        <w:rPr>
          <w:rFonts w:ascii="Times New Roman" w:hAnsi="Times New Roman"/>
          <w:sz w:val="28"/>
          <w:szCs w:val="28"/>
        </w:rPr>
        <w:t>”</w:t>
      </w:r>
      <w:r w:rsidR="006A4F5B" w:rsidRPr="00CD542C">
        <w:rPr>
          <w:rStyle w:val="Refdenotaalpie"/>
          <w:rFonts w:ascii="Times New Roman" w:hAnsi="Times New Roman"/>
          <w:sz w:val="28"/>
          <w:szCs w:val="28"/>
        </w:rPr>
        <w:footnoteReference w:id="26"/>
      </w:r>
      <w:r w:rsidR="006A4F5B" w:rsidRPr="00CD542C">
        <w:rPr>
          <w:rFonts w:ascii="Times New Roman" w:hAnsi="Times New Roman"/>
          <w:sz w:val="28"/>
          <w:szCs w:val="28"/>
        </w:rPr>
        <w:t>.</w:t>
      </w:r>
    </w:p>
    <w:p w:rsidR="006A4F5B" w:rsidRPr="00CD542C" w:rsidRDefault="006A4F5B" w:rsidP="00CD542C">
      <w:pPr>
        <w:spacing w:after="0" w:line="240" w:lineRule="auto"/>
        <w:rPr>
          <w:rFonts w:ascii="Times New Roman" w:hAnsi="Times New Roman"/>
          <w:sz w:val="28"/>
          <w:szCs w:val="28"/>
        </w:rPr>
      </w:pPr>
    </w:p>
    <w:p w:rsidR="00614556" w:rsidRPr="00CD542C" w:rsidRDefault="000E29B0" w:rsidP="00CD542C">
      <w:pPr>
        <w:spacing w:after="0" w:line="240" w:lineRule="auto"/>
        <w:jc w:val="both"/>
        <w:rPr>
          <w:rFonts w:ascii="Times New Roman" w:hAnsi="Times New Roman"/>
          <w:color w:val="000000"/>
          <w:sz w:val="28"/>
          <w:szCs w:val="28"/>
          <w:lang w:val="es-CO" w:eastAsia="es-ES"/>
        </w:rPr>
      </w:pPr>
      <w:r w:rsidRPr="00CD542C">
        <w:rPr>
          <w:rFonts w:ascii="Times New Roman" w:hAnsi="Times New Roman"/>
          <w:sz w:val="28"/>
          <w:szCs w:val="28"/>
        </w:rPr>
        <w:t>12</w:t>
      </w:r>
      <w:r w:rsidR="001D5DF5" w:rsidRPr="00CD542C">
        <w:rPr>
          <w:rFonts w:ascii="Times New Roman" w:hAnsi="Times New Roman"/>
          <w:sz w:val="28"/>
          <w:szCs w:val="28"/>
        </w:rPr>
        <w:t xml:space="preserve">. En </w:t>
      </w:r>
      <w:r w:rsidR="001D5DF5" w:rsidRPr="00CD542C">
        <w:rPr>
          <w:rFonts w:ascii="Times New Roman" w:hAnsi="Times New Roman"/>
          <w:i/>
          <w:sz w:val="28"/>
          <w:szCs w:val="28"/>
        </w:rPr>
        <w:t>tercer lugar</w:t>
      </w:r>
      <w:r w:rsidR="001D5DF5" w:rsidRPr="00CD542C">
        <w:rPr>
          <w:rFonts w:ascii="Times New Roman" w:hAnsi="Times New Roman"/>
          <w:sz w:val="28"/>
          <w:szCs w:val="28"/>
        </w:rPr>
        <w:t xml:space="preserve">, </w:t>
      </w:r>
      <w:r w:rsidR="00951ADA" w:rsidRPr="00CD542C">
        <w:rPr>
          <w:rFonts w:ascii="Times New Roman" w:hAnsi="Times New Roman"/>
          <w:sz w:val="28"/>
          <w:szCs w:val="28"/>
        </w:rPr>
        <w:t xml:space="preserve">la segunda interpretación de la norma propuesta es la que más se ajusta a su sentido histórico </w:t>
      </w:r>
      <w:r w:rsidR="00D50F1D" w:rsidRPr="00CD542C">
        <w:rPr>
          <w:rFonts w:ascii="Times New Roman" w:hAnsi="Times New Roman"/>
          <w:sz w:val="28"/>
          <w:szCs w:val="28"/>
        </w:rPr>
        <w:t xml:space="preserve">porque </w:t>
      </w:r>
      <w:r w:rsidR="009A2358" w:rsidRPr="00CD542C">
        <w:rPr>
          <w:rFonts w:ascii="Times New Roman" w:hAnsi="Times New Roman"/>
          <w:sz w:val="28"/>
          <w:szCs w:val="28"/>
        </w:rPr>
        <w:t>la necesidad de dar viabilidad probatoria a los antecedentes, indicios o amenazas de</w:t>
      </w:r>
      <w:r w:rsidR="00D50F1D" w:rsidRPr="00CD542C">
        <w:rPr>
          <w:rFonts w:ascii="Times New Roman" w:hAnsi="Times New Roman"/>
          <w:sz w:val="28"/>
          <w:szCs w:val="28"/>
        </w:rPr>
        <w:t xml:space="preserve"> cualquier tipo de violencia, está estrictamente</w:t>
      </w:r>
      <w:r w:rsidR="00614556" w:rsidRPr="00CD542C">
        <w:rPr>
          <w:rFonts w:ascii="Times New Roman" w:hAnsi="Times New Roman"/>
          <w:sz w:val="28"/>
          <w:szCs w:val="28"/>
        </w:rPr>
        <w:t xml:space="preserve"> ligada</w:t>
      </w:r>
      <w:r w:rsidR="00D50F1D" w:rsidRPr="00CD542C">
        <w:rPr>
          <w:rFonts w:ascii="Times New Roman" w:hAnsi="Times New Roman"/>
          <w:sz w:val="28"/>
          <w:szCs w:val="28"/>
        </w:rPr>
        <w:t xml:space="preserve"> con</w:t>
      </w:r>
      <w:r w:rsidR="00614556" w:rsidRPr="00CD542C">
        <w:rPr>
          <w:rFonts w:ascii="Times New Roman" w:hAnsi="Times New Roman"/>
          <w:sz w:val="28"/>
          <w:szCs w:val="28"/>
        </w:rPr>
        <w:t xml:space="preserve"> el hecho de que </w:t>
      </w:r>
      <w:r w:rsidR="009A2358" w:rsidRPr="00CD542C">
        <w:rPr>
          <w:rFonts w:ascii="Times New Roman" w:hAnsi="Times New Roman"/>
          <w:color w:val="000000"/>
          <w:sz w:val="28"/>
          <w:szCs w:val="28"/>
          <w:lang w:val="es-CO" w:eastAsia="es-ES"/>
        </w:rPr>
        <w:t>la discriminación es</w:t>
      </w:r>
      <w:r w:rsidR="00614556" w:rsidRPr="00CD542C">
        <w:rPr>
          <w:rFonts w:ascii="Times New Roman" w:hAnsi="Times New Roman"/>
          <w:color w:val="000000"/>
          <w:sz w:val="28"/>
          <w:szCs w:val="28"/>
          <w:lang w:val="es-CO" w:eastAsia="es-ES"/>
        </w:rPr>
        <w:t>tructural contra las mujeres p</w:t>
      </w:r>
      <w:r w:rsidR="009A2358" w:rsidRPr="00CD542C">
        <w:rPr>
          <w:rFonts w:ascii="Times New Roman" w:hAnsi="Times New Roman"/>
          <w:color w:val="000000"/>
          <w:sz w:val="28"/>
          <w:szCs w:val="28"/>
          <w:lang w:val="es-CO" w:eastAsia="es-ES"/>
        </w:rPr>
        <w:t>ersiste en muchos</w:t>
      </w:r>
      <w:r w:rsidR="00614556" w:rsidRPr="00CD542C">
        <w:rPr>
          <w:rFonts w:ascii="Times New Roman" w:hAnsi="Times New Roman"/>
          <w:color w:val="000000"/>
          <w:sz w:val="28"/>
          <w:szCs w:val="28"/>
          <w:lang w:val="es-CO" w:eastAsia="es-ES"/>
        </w:rPr>
        <w:t xml:space="preserve"> ámbitos jurídicos y judiciales. </w:t>
      </w:r>
      <w:r w:rsidR="00825492" w:rsidRPr="00CD542C">
        <w:rPr>
          <w:rFonts w:ascii="Times New Roman" w:hAnsi="Times New Roman"/>
          <w:color w:val="000000"/>
          <w:sz w:val="28"/>
          <w:szCs w:val="28"/>
          <w:lang w:val="es-CO" w:eastAsia="es-ES"/>
        </w:rPr>
        <w:t xml:space="preserve">Es </w:t>
      </w:r>
      <w:r w:rsidR="00C513A7" w:rsidRPr="00CD542C">
        <w:rPr>
          <w:rFonts w:ascii="Times New Roman" w:hAnsi="Times New Roman"/>
          <w:color w:val="000000"/>
          <w:sz w:val="28"/>
          <w:szCs w:val="28"/>
          <w:lang w:val="es-CO" w:eastAsia="es-ES"/>
        </w:rPr>
        <w:t>decir la norma responde a</w:t>
      </w:r>
      <w:r w:rsidR="00825492" w:rsidRPr="00CD542C">
        <w:rPr>
          <w:rFonts w:ascii="Times New Roman" w:hAnsi="Times New Roman"/>
          <w:color w:val="000000"/>
          <w:sz w:val="28"/>
          <w:szCs w:val="28"/>
          <w:lang w:val="es-CO" w:eastAsia="es-ES"/>
        </w:rPr>
        <w:t xml:space="preserve">l </w:t>
      </w:r>
      <w:r w:rsidR="000F5732" w:rsidRPr="00CD542C">
        <w:rPr>
          <w:rFonts w:ascii="Times New Roman" w:hAnsi="Times New Roman"/>
          <w:b/>
          <w:color w:val="000000"/>
          <w:sz w:val="28"/>
          <w:szCs w:val="28"/>
          <w:lang w:val="es-CO" w:eastAsia="es-ES"/>
        </w:rPr>
        <w:t xml:space="preserve">(iii) </w:t>
      </w:r>
      <w:r w:rsidR="00825492" w:rsidRPr="00CD542C">
        <w:rPr>
          <w:rFonts w:ascii="Times New Roman" w:hAnsi="Times New Roman"/>
          <w:b/>
          <w:color w:val="000000"/>
          <w:sz w:val="28"/>
          <w:szCs w:val="28"/>
          <w:lang w:val="es-CO" w:eastAsia="es-ES"/>
        </w:rPr>
        <w:t>contexto de discriminación</w:t>
      </w:r>
      <w:r w:rsidR="00C513A7" w:rsidRPr="00CD542C">
        <w:rPr>
          <w:rFonts w:ascii="Times New Roman" w:hAnsi="Times New Roman"/>
          <w:b/>
          <w:color w:val="000000"/>
          <w:sz w:val="28"/>
          <w:szCs w:val="28"/>
          <w:lang w:val="es-CO" w:eastAsia="es-ES"/>
        </w:rPr>
        <w:t xml:space="preserve"> contra la mujer</w:t>
      </w:r>
      <w:r w:rsidR="00825492" w:rsidRPr="00CD542C">
        <w:rPr>
          <w:rFonts w:ascii="Times New Roman" w:hAnsi="Times New Roman"/>
          <w:b/>
          <w:color w:val="000000"/>
          <w:sz w:val="28"/>
          <w:szCs w:val="28"/>
          <w:lang w:val="es-CO" w:eastAsia="es-ES"/>
        </w:rPr>
        <w:t xml:space="preserve"> en la administración de justicia</w:t>
      </w:r>
      <w:r w:rsidR="00825492" w:rsidRPr="00CD542C">
        <w:rPr>
          <w:rFonts w:ascii="Times New Roman" w:hAnsi="Times New Roman"/>
          <w:color w:val="000000"/>
          <w:sz w:val="28"/>
          <w:szCs w:val="28"/>
          <w:lang w:val="es-CO" w:eastAsia="es-ES"/>
        </w:rPr>
        <w:t>.</w:t>
      </w:r>
      <w:r w:rsidR="00C513A7" w:rsidRPr="00CD542C">
        <w:rPr>
          <w:rFonts w:ascii="Times New Roman" w:hAnsi="Times New Roman"/>
          <w:color w:val="000000"/>
          <w:sz w:val="28"/>
          <w:szCs w:val="28"/>
          <w:lang w:val="es-CO" w:eastAsia="es-ES"/>
        </w:rPr>
        <w:t xml:space="preserve"> </w:t>
      </w:r>
    </w:p>
    <w:p w:rsidR="00614556" w:rsidRPr="00CD542C" w:rsidRDefault="00614556" w:rsidP="00CD542C">
      <w:pPr>
        <w:spacing w:after="0" w:line="240" w:lineRule="auto"/>
        <w:jc w:val="both"/>
        <w:rPr>
          <w:rFonts w:ascii="Times New Roman" w:hAnsi="Times New Roman"/>
          <w:color w:val="000000"/>
          <w:sz w:val="28"/>
          <w:szCs w:val="28"/>
          <w:lang w:val="es-CO" w:eastAsia="es-ES"/>
        </w:rPr>
      </w:pPr>
    </w:p>
    <w:p w:rsidR="009A2358" w:rsidRPr="00CD542C" w:rsidRDefault="00F45A3F" w:rsidP="00CD542C">
      <w:pPr>
        <w:spacing w:after="0" w:line="240" w:lineRule="auto"/>
        <w:jc w:val="both"/>
        <w:rPr>
          <w:rFonts w:ascii="Times New Roman" w:hAnsi="Times New Roman"/>
          <w:color w:val="000000"/>
          <w:sz w:val="28"/>
          <w:szCs w:val="28"/>
          <w:lang w:val="es-CO" w:eastAsia="es-ES"/>
        </w:rPr>
      </w:pPr>
      <w:r w:rsidRPr="00CD542C">
        <w:rPr>
          <w:rFonts w:ascii="Times New Roman" w:hAnsi="Times New Roman"/>
          <w:color w:val="000000"/>
          <w:sz w:val="28"/>
          <w:szCs w:val="28"/>
          <w:lang w:val="es-CO" w:eastAsia="es-ES"/>
        </w:rPr>
        <w:t>En este sentido</w:t>
      </w:r>
      <w:r w:rsidR="004D20E9" w:rsidRPr="00CD542C">
        <w:rPr>
          <w:rFonts w:ascii="Times New Roman" w:hAnsi="Times New Roman"/>
          <w:color w:val="000000"/>
          <w:sz w:val="28"/>
          <w:szCs w:val="28"/>
          <w:lang w:val="es-CO" w:eastAsia="es-ES"/>
        </w:rPr>
        <w:t>, tanto en la exposición de motivos de la Ley 1761</w:t>
      </w:r>
      <w:r w:rsidR="00951ADA" w:rsidRPr="00CD542C">
        <w:rPr>
          <w:rFonts w:ascii="Times New Roman" w:hAnsi="Times New Roman"/>
          <w:color w:val="000000"/>
          <w:sz w:val="28"/>
          <w:szCs w:val="28"/>
          <w:lang w:val="es-CO" w:eastAsia="es-ES"/>
        </w:rPr>
        <w:t xml:space="preserve"> de 2015</w:t>
      </w:r>
      <w:r w:rsidR="00BC44F2" w:rsidRPr="00CD542C">
        <w:rPr>
          <w:rFonts w:ascii="Times New Roman" w:hAnsi="Times New Roman"/>
          <w:color w:val="000000"/>
          <w:sz w:val="28"/>
          <w:szCs w:val="28"/>
          <w:lang w:val="es-CO" w:eastAsia="es-ES"/>
        </w:rPr>
        <w:t>, como en reiterada jurisprudencia</w:t>
      </w:r>
      <w:r w:rsidR="00BC44F2" w:rsidRPr="00CD542C">
        <w:rPr>
          <w:rStyle w:val="Refdenotaalpie"/>
          <w:rFonts w:ascii="Times New Roman" w:hAnsi="Times New Roman"/>
          <w:color w:val="000000"/>
          <w:sz w:val="28"/>
          <w:szCs w:val="28"/>
          <w:lang w:val="es-CO" w:eastAsia="es-ES"/>
        </w:rPr>
        <w:footnoteReference w:id="27"/>
      </w:r>
      <w:r w:rsidR="005153A5" w:rsidRPr="00CD542C">
        <w:rPr>
          <w:rFonts w:ascii="Times New Roman" w:hAnsi="Times New Roman"/>
          <w:color w:val="000000"/>
          <w:sz w:val="28"/>
          <w:szCs w:val="28"/>
          <w:lang w:val="es-CO" w:eastAsia="es-ES"/>
        </w:rPr>
        <w:t xml:space="preserve"> se ha denunciado</w:t>
      </w:r>
      <w:r w:rsidR="00BC44F2" w:rsidRPr="00CD542C">
        <w:rPr>
          <w:rFonts w:ascii="Times New Roman" w:hAnsi="Times New Roman"/>
          <w:color w:val="000000"/>
          <w:sz w:val="28"/>
          <w:szCs w:val="28"/>
          <w:lang w:val="es-CO" w:eastAsia="es-ES"/>
        </w:rPr>
        <w:t xml:space="preserve"> que</w:t>
      </w:r>
      <w:r w:rsidR="00775822" w:rsidRPr="00CD542C">
        <w:rPr>
          <w:rFonts w:ascii="Times New Roman" w:hAnsi="Times New Roman"/>
          <w:color w:val="000000"/>
          <w:sz w:val="28"/>
          <w:szCs w:val="28"/>
          <w:lang w:val="es-CO" w:eastAsia="es-ES"/>
        </w:rPr>
        <w:t xml:space="preserve">, en contexto de discriminación, no es </w:t>
      </w:r>
      <w:r w:rsidR="009A2358" w:rsidRPr="00CD542C">
        <w:rPr>
          <w:rFonts w:ascii="Times New Roman" w:hAnsi="Times New Roman"/>
          <w:color w:val="000000"/>
          <w:sz w:val="28"/>
          <w:szCs w:val="28"/>
          <w:lang w:val="es-CO" w:eastAsia="es-ES"/>
        </w:rPr>
        <w:t xml:space="preserve">posible mantener el velo de la </w:t>
      </w:r>
      <w:r w:rsidR="009A2358" w:rsidRPr="00CD542C">
        <w:rPr>
          <w:rFonts w:ascii="Times New Roman" w:hAnsi="Times New Roman"/>
          <w:i/>
          <w:color w:val="000000"/>
          <w:sz w:val="28"/>
          <w:szCs w:val="28"/>
          <w:lang w:val="es-CO" w:eastAsia="es-ES"/>
        </w:rPr>
        <w:t>igualdad de armas</w:t>
      </w:r>
      <w:r w:rsidR="00775822" w:rsidRPr="00CD542C">
        <w:rPr>
          <w:rFonts w:ascii="Times New Roman" w:hAnsi="Times New Roman"/>
          <w:i/>
          <w:color w:val="000000"/>
          <w:sz w:val="28"/>
          <w:szCs w:val="28"/>
          <w:lang w:val="es-CO" w:eastAsia="es-ES"/>
        </w:rPr>
        <w:t xml:space="preserve"> procesales,</w:t>
      </w:r>
      <w:r w:rsidR="009A2358" w:rsidRPr="00CD542C">
        <w:rPr>
          <w:rFonts w:ascii="Times New Roman" w:hAnsi="Times New Roman"/>
          <w:color w:val="000000"/>
          <w:sz w:val="28"/>
          <w:szCs w:val="28"/>
          <w:lang w:val="es-CO" w:eastAsia="es-ES"/>
        </w:rPr>
        <w:t xml:space="preserve"> sin que ello implique el desconocimiento de las obligaciones estatales de prevenir, investigar y sancionar cualquier tipo de violencia contra la mujer</w:t>
      </w:r>
      <w:r w:rsidR="00775822" w:rsidRPr="00CD542C">
        <w:rPr>
          <w:rFonts w:ascii="Times New Roman" w:hAnsi="Times New Roman"/>
          <w:color w:val="000000"/>
          <w:sz w:val="28"/>
          <w:szCs w:val="28"/>
          <w:lang w:val="es-CO" w:eastAsia="es-ES"/>
        </w:rPr>
        <w:t>.</w:t>
      </w:r>
    </w:p>
    <w:p w:rsidR="009A2358" w:rsidRPr="00CD542C" w:rsidRDefault="009A2358" w:rsidP="00CD542C">
      <w:pPr>
        <w:autoSpaceDE w:val="0"/>
        <w:autoSpaceDN w:val="0"/>
        <w:spacing w:after="0" w:line="240" w:lineRule="auto"/>
        <w:jc w:val="both"/>
        <w:rPr>
          <w:rFonts w:ascii="Times New Roman" w:hAnsi="Times New Roman"/>
          <w:color w:val="000000"/>
          <w:sz w:val="28"/>
          <w:szCs w:val="28"/>
          <w:lang w:val="es-CO" w:eastAsia="es-ES"/>
        </w:rPr>
      </w:pPr>
    </w:p>
    <w:p w:rsidR="009A2358" w:rsidRPr="00CD542C" w:rsidRDefault="00F45A3F" w:rsidP="00CD542C">
      <w:pPr>
        <w:autoSpaceDE w:val="0"/>
        <w:autoSpaceDN w:val="0"/>
        <w:spacing w:after="0" w:line="240" w:lineRule="auto"/>
        <w:jc w:val="both"/>
        <w:rPr>
          <w:rFonts w:ascii="Times New Roman" w:hAnsi="Times New Roman"/>
          <w:color w:val="000000"/>
          <w:sz w:val="28"/>
          <w:szCs w:val="28"/>
          <w:lang w:val="es-CO" w:eastAsia="es-ES"/>
        </w:rPr>
      </w:pPr>
      <w:r w:rsidRPr="00CD542C">
        <w:rPr>
          <w:rFonts w:ascii="Times New Roman" w:hAnsi="Times New Roman"/>
          <w:color w:val="000000"/>
          <w:sz w:val="28"/>
          <w:szCs w:val="28"/>
          <w:lang w:val="es-CO" w:eastAsia="es-ES"/>
        </w:rPr>
        <w:t>Por lo tanto, s</w:t>
      </w:r>
      <w:r w:rsidR="00172E2F" w:rsidRPr="00CD542C">
        <w:rPr>
          <w:rFonts w:ascii="Times New Roman" w:hAnsi="Times New Roman"/>
          <w:color w:val="000000"/>
          <w:sz w:val="28"/>
          <w:szCs w:val="28"/>
          <w:lang w:val="es-CO" w:eastAsia="es-ES"/>
        </w:rPr>
        <w:t xml:space="preserve">e ha dicho que </w:t>
      </w:r>
      <w:r w:rsidR="009A2358" w:rsidRPr="00CD542C">
        <w:rPr>
          <w:rFonts w:ascii="Times New Roman" w:hAnsi="Times New Roman"/>
          <w:color w:val="000000"/>
          <w:sz w:val="28"/>
          <w:szCs w:val="28"/>
          <w:lang w:val="es-CO" w:eastAsia="es-ES"/>
        </w:rPr>
        <w:t>la rigidez procesal y el formalismo probatorio, muestran que</w:t>
      </w:r>
      <w:r w:rsidR="00172E2F" w:rsidRPr="00CD542C">
        <w:rPr>
          <w:rFonts w:ascii="Times New Roman" w:hAnsi="Times New Roman"/>
          <w:color w:val="000000"/>
          <w:sz w:val="28"/>
          <w:szCs w:val="28"/>
          <w:lang w:val="es-CO" w:eastAsia="es-ES"/>
        </w:rPr>
        <w:t xml:space="preserve"> muchas veces la administración de justicia ha dado un</w:t>
      </w:r>
      <w:r w:rsidR="00951ADA" w:rsidRPr="00CD542C">
        <w:rPr>
          <w:rFonts w:ascii="Times New Roman" w:hAnsi="Times New Roman"/>
          <w:color w:val="000000"/>
          <w:sz w:val="28"/>
          <w:szCs w:val="28"/>
          <w:lang w:val="es-CO" w:eastAsia="es-ES"/>
        </w:rPr>
        <w:t xml:space="preserve"> desmedido</w:t>
      </w:r>
      <w:r w:rsidR="009A2358" w:rsidRPr="00CD542C">
        <w:rPr>
          <w:rFonts w:ascii="Times New Roman" w:hAnsi="Times New Roman"/>
          <w:color w:val="000000"/>
          <w:sz w:val="28"/>
          <w:szCs w:val="28"/>
          <w:lang w:val="es-CO" w:eastAsia="es-ES"/>
        </w:rPr>
        <w:t xml:space="preserve"> lugar a la verdad procesal, por encima, de realidades fácticas estructuralmente desiguales</w:t>
      </w:r>
      <w:r w:rsidR="00254DA8" w:rsidRPr="00CD542C">
        <w:rPr>
          <w:rStyle w:val="Refdenotaalpie"/>
          <w:rFonts w:ascii="Times New Roman" w:hAnsi="Times New Roman"/>
          <w:color w:val="000000"/>
          <w:sz w:val="28"/>
          <w:szCs w:val="28"/>
          <w:lang w:val="es-CO" w:eastAsia="es-ES"/>
        </w:rPr>
        <w:footnoteReference w:id="28"/>
      </w:r>
      <w:r w:rsidR="00951ADA" w:rsidRPr="00CD542C">
        <w:rPr>
          <w:rFonts w:ascii="Times New Roman" w:hAnsi="Times New Roman"/>
          <w:color w:val="000000"/>
          <w:sz w:val="28"/>
          <w:szCs w:val="28"/>
          <w:lang w:val="es-CO" w:eastAsia="es-ES"/>
        </w:rPr>
        <w:t xml:space="preserve"> y la verdad real de lo sucedido.</w:t>
      </w:r>
      <w:r w:rsidRPr="00CD542C">
        <w:rPr>
          <w:rFonts w:ascii="Times New Roman" w:hAnsi="Times New Roman"/>
          <w:color w:val="000000"/>
          <w:sz w:val="28"/>
          <w:szCs w:val="28"/>
          <w:lang w:val="es-CO" w:eastAsia="es-ES"/>
        </w:rPr>
        <w:t xml:space="preserve"> Así, la inclusión de los antecedentes e indicios de violencia en una circunstancia del tipo, responde a la necesidad de establecer un tipo penal que  pueda integrar una perspectiva de género en la que esas desigualdades sean </w:t>
      </w:r>
      <w:r w:rsidR="000257E4" w:rsidRPr="00CD542C">
        <w:rPr>
          <w:rFonts w:ascii="Times New Roman" w:hAnsi="Times New Roman"/>
          <w:color w:val="000000"/>
          <w:sz w:val="28"/>
          <w:szCs w:val="28"/>
          <w:lang w:val="es-CO" w:eastAsia="es-ES"/>
        </w:rPr>
        <w:t>superadas.</w:t>
      </w:r>
    </w:p>
    <w:p w:rsidR="00254DA8" w:rsidRPr="00CD542C" w:rsidRDefault="00254DA8" w:rsidP="00CD542C">
      <w:pPr>
        <w:autoSpaceDE w:val="0"/>
        <w:autoSpaceDN w:val="0"/>
        <w:spacing w:after="0" w:line="240" w:lineRule="auto"/>
        <w:jc w:val="both"/>
        <w:rPr>
          <w:rFonts w:ascii="Times New Roman" w:hAnsi="Times New Roman"/>
          <w:color w:val="000000"/>
          <w:sz w:val="28"/>
          <w:szCs w:val="28"/>
          <w:lang w:val="es-CO" w:eastAsia="es-ES"/>
        </w:rPr>
      </w:pPr>
    </w:p>
    <w:p w:rsidR="006A4F5B" w:rsidRPr="00CD542C" w:rsidRDefault="000E29B0" w:rsidP="00CD542C">
      <w:pPr>
        <w:spacing w:after="0" w:line="240" w:lineRule="auto"/>
        <w:jc w:val="both"/>
        <w:rPr>
          <w:rFonts w:ascii="Times New Roman" w:hAnsi="Times New Roman"/>
          <w:sz w:val="28"/>
          <w:szCs w:val="28"/>
        </w:rPr>
      </w:pPr>
      <w:r w:rsidRPr="00CD542C">
        <w:rPr>
          <w:rFonts w:ascii="Times New Roman" w:hAnsi="Times New Roman"/>
          <w:sz w:val="28"/>
          <w:szCs w:val="28"/>
        </w:rPr>
        <w:t>13</w:t>
      </w:r>
      <w:r w:rsidR="00C5118B" w:rsidRPr="00CD542C">
        <w:rPr>
          <w:rFonts w:ascii="Times New Roman" w:hAnsi="Times New Roman"/>
          <w:sz w:val="28"/>
          <w:szCs w:val="28"/>
        </w:rPr>
        <w:t>. En</w:t>
      </w:r>
      <w:r w:rsidR="006A4F5B" w:rsidRPr="00CD542C">
        <w:rPr>
          <w:rFonts w:ascii="Times New Roman" w:hAnsi="Times New Roman"/>
          <w:sz w:val="28"/>
          <w:szCs w:val="28"/>
        </w:rPr>
        <w:t xml:space="preserve"> suma, </w:t>
      </w:r>
      <w:r w:rsidR="00C5118B" w:rsidRPr="00CD542C">
        <w:rPr>
          <w:rFonts w:ascii="Times New Roman" w:hAnsi="Times New Roman"/>
          <w:sz w:val="28"/>
          <w:szCs w:val="28"/>
        </w:rPr>
        <w:t xml:space="preserve">resulta claro que </w:t>
      </w:r>
      <w:r w:rsidR="006A4F5B" w:rsidRPr="00CD542C">
        <w:rPr>
          <w:rFonts w:ascii="Times New Roman" w:hAnsi="Times New Roman"/>
          <w:sz w:val="28"/>
          <w:szCs w:val="28"/>
        </w:rPr>
        <w:t xml:space="preserve">las circunstancias contextuales de un homicidio de una mujer </w:t>
      </w:r>
      <w:r w:rsidR="00951ADA" w:rsidRPr="00CD542C">
        <w:rPr>
          <w:rFonts w:ascii="Times New Roman" w:hAnsi="Times New Roman"/>
          <w:sz w:val="28"/>
          <w:szCs w:val="28"/>
        </w:rPr>
        <w:t xml:space="preserve">por el hecho de ser mujer </w:t>
      </w:r>
      <w:r w:rsidR="006A4F5B" w:rsidRPr="00CD542C">
        <w:rPr>
          <w:rFonts w:ascii="Times New Roman" w:hAnsi="Times New Roman"/>
          <w:sz w:val="28"/>
          <w:szCs w:val="28"/>
        </w:rPr>
        <w:t xml:space="preserve">son determinantes para establecer la conducta del feminicidio. En este sentido, dado que los bienes jurídicos </w:t>
      </w:r>
      <w:r w:rsidR="006A4F5B" w:rsidRPr="00CD542C">
        <w:rPr>
          <w:rFonts w:ascii="Times New Roman" w:hAnsi="Times New Roman"/>
          <w:sz w:val="28"/>
          <w:szCs w:val="28"/>
        </w:rPr>
        <w:lastRenderedPageBreak/>
        <w:t xml:space="preserve">protegidos </w:t>
      </w:r>
      <w:r w:rsidR="00453C8E" w:rsidRPr="00CD542C">
        <w:rPr>
          <w:rFonts w:ascii="Times New Roman" w:hAnsi="Times New Roman"/>
          <w:sz w:val="28"/>
          <w:szCs w:val="28"/>
        </w:rPr>
        <w:t xml:space="preserve">por la norma acusada </w:t>
      </w:r>
      <w:r w:rsidR="006A4F5B" w:rsidRPr="00CD542C">
        <w:rPr>
          <w:rFonts w:ascii="Times New Roman" w:hAnsi="Times New Roman"/>
          <w:sz w:val="28"/>
          <w:szCs w:val="28"/>
        </w:rPr>
        <w:t>van más allá de la vida y se encuentran ligados a la protección de las mujeres frente a patrones de discriminación que configuren la intención de matar</w:t>
      </w:r>
      <w:r w:rsidR="00453C8E" w:rsidRPr="00CD542C">
        <w:rPr>
          <w:rFonts w:ascii="Times New Roman" w:hAnsi="Times New Roman"/>
          <w:sz w:val="28"/>
          <w:szCs w:val="28"/>
        </w:rPr>
        <w:t>las</w:t>
      </w:r>
      <w:r w:rsidR="006A4F5B" w:rsidRPr="00CD542C">
        <w:rPr>
          <w:rFonts w:ascii="Times New Roman" w:hAnsi="Times New Roman"/>
          <w:sz w:val="28"/>
          <w:szCs w:val="28"/>
        </w:rPr>
        <w:t xml:space="preserve"> por razones de género</w:t>
      </w:r>
      <w:r w:rsidR="00C5118B" w:rsidRPr="00CD542C">
        <w:rPr>
          <w:rFonts w:ascii="Times New Roman" w:hAnsi="Times New Roman"/>
          <w:sz w:val="28"/>
          <w:szCs w:val="28"/>
        </w:rPr>
        <w:t xml:space="preserve">, </w:t>
      </w:r>
      <w:r w:rsidR="00453C8E" w:rsidRPr="00CD542C">
        <w:rPr>
          <w:rFonts w:ascii="Times New Roman" w:hAnsi="Times New Roman"/>
          <w:sz w:val="28"/>
          <w:szCs w:val="28"/>
        </w:rPr>
        <w:t xml:space="preserve">esta Sala es </w:t>
      </w:r>
      <w:r w:rsidR="006A4F5B" w:rsidRPr="00CD542C">
        <w:rPr>
          <w:rFonts w:ascii="Times New Roman" w:hAnsi="Times New Roman"/>
          <w:sz w:val="28"/>
          <w:szCs w:val="28"/>
        </w:rPr>
        <w:t>enfática en establecer que el elemento esencial del tipo radica en el hecho de matar a una mujer por</w:t>
      </w:r>
      <w:r w:rsidR="0019499E" w:rsidRPr="00CD542C">
        <w:rPr>
          <w:rFonts w:ascii="Times New Roman" w:hAnsi="Times New Roman"/>
          <w:sz w:val="28"/>
          <w:szCs w:val="28"/>
        </w:rPr>
        <w:t xml:space="preserve"> el hecho de</w:t>
      </w:r>
      <w:r w:rsidR="006A4F5B" w:rsidRPr="00CD542C">
        <w:rPr>
          <w:rFonts w:ascii="Times New Roman" w:hAnsi="Times New Roman"/>
          <w:sz w:val="28"/>
          <w:szCs w:val="28"/>
        </w:rPr>
        <w:t xml:space="preserve"> serlo. </w:t>
      </w:r>
    </w:p>
    <w:p w:rsidR="006A4F5B" w:rsidRPr="00CD542C" w:rsidRDefault="006A4F5B" w:rsidP="00CD542C">
      <w:pPr>
        <w:spacing w:after="0" w:line="240" w:lineRule="auto"/>
        <w:jc w:val="both"/>
        <w:rPr>
          <w:rFonts w:ascii="Times New Roman" w:hAnsi="Times New Roman"/>
          <w:sz w:val="28"/>
          <w:szCs w:val="28"/>
        </w:rPr>
      </w:pPr>
    </w:p>
    <w:p w:rsidR="00E55EB8" w:rsidRPr="00CD542C" w:rsidRDefault="002A6AB6" w:rsidP="00CD542C">
      <w:pPr>
        <w:spacing w:after="0" w:line="240" w:lineRule="auto"/>
        <w:jc w:val="both"/>
        <w:rPr>
          <w:rFonts w:ascii="Times New Roman" w:hAnsi="Times New Roman"/>
          <w:sz w:val="28"/>
          <w:szCs w:val="28"/>
        </w:rPr>
      </w:pPr>
      <w:r w:rsidRPr="00CD542C">
        <w:rPr>
          <w:rFonts w:ascii="Times New Roman" w:hAnsi="Times New Roman"/>
          <w:sz w:val="28"/>
          <w:szCs w:val="28"/>
        </w:rPr>
        <w:t>Lo anterior</w:t>
      </w:r>
      <w:r w:rsidR="00E55EB8" w:rsidRPr="00CD542C">
        <w:rPr>
          <w:rFonts w:ascii="Times New Roman" w:hAnsi="Times New Roman"/>
          <w:sz w:val="28"/>
          <w:szCs w:val="28"/>
        </w:rPr>
        <w:t xml:space="preserve"> implica que las circunstancias que configuran el </w:t>
      </w:r>
      <w:r w:rsidRPr="00CD542C">
        <w:rPr>
          <w:rFonts w:ascii="Times New Roman" w:hAnsi="Times New Roman"/>
          <w:sz w:val="28"/>
          <w:szCs w:val="28"/>
        </w:rPr>
        <w:t>literal</w:t>
      </w:r>
      <w:r w:rsidR="00E55EB8" w:rsidRPr="00CD542C">
        <w:rPr>
          <w:rFonts w:ascii="Times New Roman" w:hAnsi="Times New Roman"/>
          <w:sz w:val="28"/>
          <w:szCs w:val="28"/>
        </w:rPr>
        <w:t xml:space="preserve"> e</w:t>
      </w:r>
      <w:r w:rsidRPr="00CD542C">
        <w:rPr>
          <w:rFonts w:ascii="Times New Roman" w:hAnsi="Times New Roman"/>
          <w:sz w:val="28"/>
          <w:szCs w:val="28"/>
        </w:rPr>
        <w:t>)</w:t>
      </w:r>
      <w:r w:rsidR="00E55EB8" w:rsidRPr="00CD542C">
        <w:rPr>
          <w:rFonts w:ascii="Times New Roman" w:hAnsi="Times New Roman"/>
          <w:sz w:val="28"/>
          <w:szCs w:val="28"/>
        </w:rPr>
        <w:t xml:space="preserve"> acusado no se refieren a un verbo rector adicional o a una circunstancia que reemplace el elemento</w:t>
      </w:r>
      <w:r w:rsidR="00951ADA" w:rsidRPr="00CD542C">
        <w:rPr>
          <w:rFonts w:ascii="Times New Roman" w:hAnsi="Times New Roman"/>
          <w:sz w:val="28"/>
          <w:szCs w:val="28"/>
        </w:rPr>
        <w:t xml:space="preserve"> subjetivo del tipo, sino a</w:t>
      </w:r>
      <w:r w:rsidR="00E55EB8" w:rsidRPr="00CD542C">
        <w:rPr>
          <w:rFonts w:ascii="Times New Roman" w:hAnsi="Times New Roman"/>
          <w:sz w:val="28"/>
          <w:szCs w:val="28"/>
        </w:rPr>
        <w:t xml:space="preserve"> circunstancias que </w:t>
      </w:r>
      <w:r w:rsidR="005D41D2" w:rsidRPr="00CD542C">
        <w:rPr>
          <w:rFonts w:ascii="Times New Roman" w:hAnsi="Times New Roman"/>
          <w:sz w:val="28"/>
          <w:szCs w:val="28"/>
        </w:rPr>
        <w:t>pueden determinar</w:t>
      </w:r>
      <w:r w:rsidR="00951ADA" w:rsidRPr="00CD542C">
        <w:rPr>
          <w:rFonts w:ascii="Times New Roman" w:hAnsi="Times New Roman"/>
          <w:sz w:val="28"/>
          <w:szCs w:val="28"/>
        </w:rPr>
        <w:t xml:space="preserve"> </w:t>
      </w:r>
      <w:r w:rsidR="00E55EB8" w:rsidRPr="00CD542C">
        <w:rPr>
          <w:rFonts w:ascii="Times New Roman" w:hAnsi="Times New Roman"/>
          <w:sz w:val="28"/>
          <w:szCs w:val="28"/>
        </w:rPr>
        <w:t xml:space="preserve">que la intención del homicidio se refiere a la condición de ser mujer o a la identidad de género, </w:t>
      </w:r>
      <w:r w:rsidR="005D41D2" w:rsidRPr="00CD542C">
        <w:rPr>
          <w:rFonts w:ascii="Times New Roman" w:hAnsi="Times New Roman"/>
          <w:sz w:val="28"/>
          <w:szCs w:val="28"/>
        </w:rPr>
        <w:t>como elementos descriptivos</w:t>
      </w:r>
      <w:r w:rsidR="002C280F" w:rsidRPr="00CD542C">
        <w:rPr>
          <w:rFonts w:ascii="Times New Roman" w:hAnsi="Times New Roman"/>
          <w:sz w:val="28"/>
          <w:szCs w:val="28"/>
        </w:rPr>
        <w:t xml:space="preserve"> que presentan hechos con el potencial de</w:t>
      </w:r>
      <w:r w:rsidR="00E55EB8" w:rsidRPr="00CD542C">
        <w:rPr>
          <w:rFonts w:ascii="Times New Roman" w:hAnsi="Times New Roman"/>
          <w:sz w:val="28"/>
          <w:szCs w:val="28"/>
        </w:rPr>
        <w:t xml:space="preserve"> verificar el móvil de la conducta, sin excluir el análisis </w:t>
      </w:r>
      <w:r w:rsidR="00951ADA" w:rsidRPr="00CD542C">
        <w:rPr>
          <w:rFonts w:ascii="Times New Roman" w:hAnsi="Times New Roman"/>
          <w:sz w:val="28"/>
          <w:szCs w:val="28"/>
        </w:rPr>
        <w:t xml:space="preserve">correspondiente a la responsabilidad penal, esto es el estudio de </w:t>
      </w:r>
      <w:r w:rsidR="00E55EB8" w:rsidRPr="00CD542C">
        <w:rPr>
          <w:rFonts w:ascii="Times New Roman" w:hAnsi="Times New Roman"/>
          <w:sz w:val="28"/>
          <w:szCs w:val="28"/>
        </w:rPr>
        <w:t xml:space="preserve">sobre la tipicidad, antijuridicidad y la culpabilidad. </w:t>
      </w:r>
    </w:p>
    <w:p w:rsidR="00E55EB8" w:rsidRPr="00CD542C" w:rsidRDefault="00E55EB8" w:rsidP="00CD542C">
      <w:pPr>
        <w:spacing w:after="0" w:line="240" w:lineRule="auto"/>
        <w:jc w:val="both"/>
        <w:rPr>
          <w:rFonts w:ascii="Times New Roman" w:hAnsi="Times New Roman"/>
          <w:sz w:val="28"/>
          <w:szCs w:val="28"/>
          <w:lang w:eastAsia="es-ES"/>
        </w:rPr>
      </w:pPr>
    </w:p>
    <w:p w:rsidR="00C73B13" w:rsidRPr="00CD542C" w:rsidRDefault="000E29B0" w:rsidP="00CD542C">
      <w:pPr>
        <w:spacing w:after="0" w:line="240" w:lineRule="auto"/>
        <w:jc w:val="both"/>
        <w:rPr>
          <w:rFonts w:ascii="Times New Roman" w:hAnsi="Times New Roman"/>
          <w:sz w:val="28"/>
          <w:szCs w:val="28"/>
        </w:rPr>
      </w:pPr>
      <w:r w:rsidRPr="00CD542C">
        <w:rPr>
          <w:rFonts w:ascii="Times New Roman" w:hAnsi="Times New Roman"/>
          <w:sz w:val="28"/>
          <w:szCs w:val="28"/>
          <w:lang w:eastAsia="es-ES"/>
        </w:rPr>
        <w:t>14</w:t>
      </w:r>
      <w:r w:rsidR="00836AC3" w:rsidRPr="00CD542C">
        <w:rPr>
          <w:rFonts w:ascii="Times New Roman" w:hAnsi="Times New Roman"/>
          <w:sz w:val="28"/>
          <w:szCs w:val="28"/>
          <w:lang w:eastAsia="es-ES"/>
        </w:rPr>
        <w:t xml:space="preserve">. </w:t>
      </w:r>
      <w:r w:rsidR="006B23F5" w:rsidRPr="00CD542C">
        <w:rPr>
          <w:rFonts w:ascii="Times New Roman" w:hAnsi="Times New Roman"/>
          <w:sz w:val="28"/>
          <w:szCs w:val="28"/>
          <w:lang w:eastAsia="es-ES"/>
        </w:rPr>
        <w:t>Para concluir</w:t>
      </w:r>
      <w:r w:rsidR="00E55EB8" w:rsidRPr="00CD542C">
        <w:rPr>
          <w:rFonts w:ascii="Times New Roman" w:hAnsi="Times New Roman"/>
          <w:sz w:val="28"/>
          <w:szCs w:val="28"/>
          <w:lang w:eastAsia="es-ES"/>
        </w:rPr>
        <w:t>, el inciso acusado por el demandante no puede ser leído</w:t>
      </w:r>
      <w:r w:rsidR="00D13ED0" w:rsidRPr="00CD542C">
        <w:rPr>
          <w:rFonts w:ascii="Times New Roman" w:hAnsi="Times New Roman"/>
          <w:sz w:val="28"/>
          <w:szCs w:val="28"/>
          <w:lang w:eastAsia="es-ES"/>
        </w:rPr>
        <w:t xml:space="preserve"> de forma que excluya</w:t>
      </w:r>
      <w:r w:rsidR="00E55EB8" w:rsidRPr="00CD542C">
        <w:rPr>
          <w:rFonts w:ascii="Times New Roman" w:hAnsi="Times New Roman"/>
          <w:sz w:val="28"/>
          <w:szCs w:val="28"/>
          <w:lang w:eastAsia="es-ES"/>
        </w:rPr>
        <w:t xml:space="preserve"> o reemplace e</w:t>
      </w:r>
      <w:r w:rsidR="00D13ED0" w:rsidRPr="00CD542C">
        <w:rPr>
          <w:rFonts w:ascii="Times New Roman" w:hAnsi="Times New Roman"/>
          <w:sz w:val="28"/>
          <w:szCs w:val="28"/>
          <w:lang w:eastAsia="es-ES"/>
        </w:rPr>
        <w:t>l elemento subjetivo del tipo; e</w:t>
      </w:r>
      <w:r w:rsidR="00E55EB8" w:rsidRPr="00CD542C">
        <w:rPr>
          <w:rFonts w:ascii="Times New Roman" w:hAnsi="Times New Roman"/>
          <w:sz w:val="28"/>
          <w:szCs w:val="28"/>
          <w:lang w:eastAsia="es-ES"/>
        </w:rPr>
        <w:t xml:space="preserve">s decir, el hecho de matar a una mujer por su condición femenina. Lo anterior, puesto que dicha lectura supondría, frente al </w:t>
      </w:r>
      <w:r w:rsidR="00D13ED0" w:rsidRPr="00CD542C">
        <w:rPr>
          <w:rFonts w:ascii="Times New Roman" w:hAnsi="Times New Roman"/>
          <w:sz w:val="28"/>
          <w:szCs w:val="28"/>
          <w:lang w:eastAsia="es-ES"/>
        </w:rPr>
        <w:t xml:space="preserve">literal </w:t>
      </w:r>
      <w:r w:rsidR="00E55EB8" w:rsidRPr="00CD542C">
        <w:rPr>
          <w:rFonts w:ascii="Times New Roman" w:hAnsi="Times New Roman"/>
          <w:sz w:val="28"/>
          <w:szCs w:val="28"/>
          <w:lang w:eastAsia="es-ES"/>
        </w:rPr>
        <w:t>demandado, que</w:t>
      </w:r>
      <w:r w:rsidR="00D13ED0" w:rsidRPr="00CD542C">
        <w:rPr>
          <w:rFonts w:ascii="Times New Roman" w:hAnsi="Times New Roman"/>
          <w:sz w:val="28"/>
          <w:szCs w:val="28"/>
          <w:lang w:eastAsia="es-ES"/>
        </w:rPr>
        <w:t xml:space="preserve"> un hecho pasado, antecedentes, indicios </w:t>
      </w:r>
      <w:r w:rsidR="00E55EB8" w:rsidRPr="00CD542C">
        <w:rPr>
          <w:rFonts w:ascii="Times New Roman" w:hAnsi="Times New Roman"/>
          <w:sz w:val="28"/>
          <w:szCs w:val="28"/>
          <w:lang w:eastAsia="es-ES"/>
        </w:rPr>
        <w:t>o amenaza</w:t>
      </w:r>
      <w:r w:rsidR="00D13ED0" w:rsidRPr="00CD542C">
        <w:rPr>
          <w:rFonts w:ascii="Times New Roman" w:hAnsi="Times New Roman"/>
          <w:sz w:val="28"/>
          <w:szCs w:val="28"/>
          <w:lang w:eastAsia="es-ES"/>
        </w:rPr>
        <w:t>s</w:t>
      </w:r>
      <w:r w:rsidR="00E55EB8" w:rsidRPr="00CD542C">
        <w:rPr>
          <w:rFonts w:ascii="Times New Roman" w:hAnsi="Times New Roman"/>
          <w:sz w:val="28"/>
          <w:szCs w:val="28"/>
          <w:lang w:eastAsia="es-ES"/>
        </w:rPr>
        <w:t xml:space="preserve"> de</w:t>
      </w:r>
      <w:r w:rsidR="00D13ED0" w:rsidRPr="00CD542C">
        <w:rPr>
          <w:rFonts w:ascii="Times New Roman" w:hAnsi="Times New Roman"/>
          <w:sz w:val="28"/>
          <w:szCs w:val="28"/>
          <w:lang w:eastAsia="es-ES"/>
        </w:rPr>
        <w:t xml:space="preserve"> violencia,</w:t>
      </w:r>
      <w:r w:rsidR="00E55EB8" w:rsidRPr="00CD542C">
        <w:rPr>
          <w:rFonts w:ascii="Times New Roman" w:hAnsi="Times New Roman"/>
          <w:sz w:val="28"/>
          <w:szCs w:val="28"/>
          <w:lang w:eastAsia="es-ES"/>
        </w:rPr>
        <w:t xml:space="preserve"> en posible desconexión con el acto de matar en razón al género</w:t>
      </w:r>
      <w:r w:rsidR="00D13ED0" w:rsidRPr="00CD542C">
        <w:rPr>
          <w:rFonts w:ascii="Times New Roman" w:hAnsi="Times New Roman"/>
          <w:sz w:val="28"/>
          <w:szCs w:val="28"/>
          <w:lang w:eastAsia="es-ES"/>
        </w:rPr>
        <w:t>,</w:t>
      </w:r>
      <w:r w:rsidR="00E55EB8" w:rsidRPr="00CD542C">
        <w:rPr>
          <w:rFonts w:ascii="Times New Roman" w:hAnsi="Times New Roman"/>
          <w:sz w:val="28"/>
          <w:szCs w:val="28"/>
          <w:lang w:eastAsia="es-ES"/>
        </w:rPr>
        <w:t xml:space="preserve"> </w:t>
      </w:r>
      <w:r w:rsidR="00951ADA" w:rsidRPr="00CD542C">
        <w:rPr>
          <w:rFonts w:ascii="Times New Roman" w:hAnsi="Times New Roman"/>
          <w:sz w:val="28"/>
          <w:szCs w:val="28"/>
          <w:lang w:eastAsia="es-ES"/>
        </w:rPr>
        <w:t xml:space="preserve">tipificaría </w:t>
      </w:r>
      <w:r w:rsidR="00E55EB8" w:rsidRPr="00CD542C">
        <w:rPr>
          <w:rFonts w:ascii="Times New Roman" w:hAnsi="Times New Roman"/>
          <w:sz w:val="28"/>
          <w:szCs w:val="28"/>
          <w:lang w:eastAsia="es-ES"/>
        </w:rPr>
        <w:t>la conducta</w:t>
      </w:r>
      <w:r w:rsidR="00951ADA" w:rsidRPr="00CD542C">
        <w:rPr>
          <w:rFonts w:ascii="Times New Roman" w:hAnsi="Times New Roman"/>
          <w:sz w:val="28"/>
          <w:szCs w:val="28"/>
          <w:lang w:eastAsia="es-ES"/>
        </w:rPr>
        <w:t xml:space="preserve"> como feminicidio</w:t>
      </w:r>
      <w:r w:rsidR="00E55EB8" w:rsidRPr="00CD542C">
        <w:rPr>
          <w:rFonts w:ascii="Times New Roman" w:hAnsi="Times New Roman"/>
          <w:sz w:val="28"/>
          <w:szCs w:val="28"/>
          <w:lang w:eastAsia="es-ES"/>
        </w:rPr>
        <w:t>. Esa lectura haría que la verificación de las mencionadas circunstancias</w:t>
      </w:r>
      <w:r w:rsidR="00D13ED0" w:rsidRPr="00CD542C">
        <w:rPr>
          <w:rFonts w:ascii="Times New Roman" w:hAnsi="Times New Roman"/>
          <w:sz w:val="28"/>
          <w:szCs w:val="28"/>
          <w:lang w:eastAsia="es-ES"/>
        </w:rPr>
        <w:t>, estableciera</w:t>
      </w:r>
      <w:r w:rsidR="00E55EB8" w:rsidRPr="00CD542C">
        <w:rPr>
          <w:rFonts w:ascii="Times New Roman" w:hAnsi="Times New Roman"/>
          <w:sz w:val="28"/>
          <w:szCs w:val="28"/>
          <w:lang w:eastAsia="es-ES"/>
        </w:rPr>
        <w:t xml:space="preserve"> de forma automática la posibilidad de una imputación por feminicidio, sin que estuviera presente la verificación de la existencia del elemento subjetivo del tipo</w:t>
      </w:r>
      <w:r w:rsidR="006B23F5" w:rsidRPr="00CD542C">
        <w:rPr>
          <w:rFonts w:ascii="Times New Roman" w:hAnsi="Times New Roman"/>
          <w:sz w:val="28"/>
          <w:szCs w:val="28"/>
          <w:lang w:eastAsia="es-ES"/>
        </w:rPr>
        <w:t xml:space="preserve"> (</w:t>
      </w:r>
      <w:r w:rsidR="00E55EB8" w:rsidRPr="00CD542C">
        <w:rPr>
          <w:rFonts w:ascii="Times New Roman" w:hAnsi="Times New Roman"/>
          <w:sz w:val="28"/>
          <w:szCs w:val="28"/>
          <w:lang w:eastAsia="es-ES"/>
        </w:rPr>
        <w:t>matar a una mujer por ser mujer o por su identidad de género</w:t>
      </w:r>
      <w:r w:rsidR="006B23F5" w:rsidRPr="00CD542C">
        <w:rPr>
          <w:rFonts w:ascii="Times New Roman" w:hAnsi="Times New Roman"/>
          <w:sz w:val="28"/>
          <w:szCs w:val="28"/>
          <w:lang w:eastAsia="es-ES"/>
        </w:rPr>
        <w:t>)</w:t>
      </w:r>
      <w:r w:rsidR="00E55EB8" w:rsidRPr="00CD542C">
        <w:rPr>
          <w:rFonts w:ascii="Times New Roman" w:hAnsi="Times New Roman"/>
          <w:sz w:val="28"/>
          <w:szCs w:val="28"/>
          <w:lang w:eastAsia="es-ES"/>
        </w:rPr>
        <w:t xml:space="preserve">. </w:t>
      </w:r>
      <w:r w:rsidR="00B957C4" w:rsidRPr="00CD542C">
        <w:rPr>
          <w:rFonts w:ascii="Times New Roman" w:hAnsi="Times New Roman"/>
          <w:sz w:val="28"/>
          <w:szCs w:val="28"/>
          <w:lang w:eastAsia="es-ES"/>
        </w:rPr>
        <w:t xml:space="preserve">En efecto, </w:t>
      </w:r>
      <w:r w:rsidR="00E55EB8" w:rsidRPr="00CD542C">
        <w:rPr>
          <w:rFonts w:ascii="Times New Roman" w:hAnsi="Times New Roman"/>
          <w:sz w:val="28"/>
          <w:szCs w:val="28"/>
          <w:lang w:eastAsia="es-ES"/>
        </w:rPr>
        <w:t>la</w:t>
      </w:r>
      <w:r w:rsidR="00B957C4" w:rsidRPr="00CD542C">
        <w:rPr>
          <w:rFonts w:ascii="Times New Roman" w:hAnsi="Times New Roman"/>
          <w:sz w:val="28"/>
          <w:szCs w:val="28"/>
          <w:lang w:eastAsia="es-ES"/>
        </w:rPr>
        <w:t xml:space="preserve"> primera </w:t>
      </w:r>
      <w:r w:rsidR="00E55EB8" w:rsidRPr="00CD542C">
        <w:rPr>
          <w:rFonts w:ascii="Times New Roman" w:hAnsi="Times New Roman"/>
          <w:sz w:val="28"/>
          <w:szCs w:val="28"/>
          <w:lang w:eastAsia="es-ES"/>
        </w:rPr>
        <w:t xml:space="preserve">lectura </w:t>
      </w:r>
      <w:r w:rsidR="00B957C4" w:rsidRPr="00CD542C">
        <w:rPr>
          <w:rFonts w:ascii="Times New Roman" w:hAnsi="Times New Roman"/>
          <w:sz w:val="28"/>
          <w:szCs w:val="28"/>
          <w:lang w:eastAsia="es-ES"/>
        </w:rPr>
        <w:t xml:space="preserve">de la norma </w:t>
      </w:r>
      <w:r w:rsidR="00E55EB8" w:rsidRPr="00CD542C">
        <w:rPr>
          <w:rFonts w:ascii="Times New Roman" w:hAnsi="Times New Roman"/>
          <w:sz w:val="28"/>
          <w:szCs w:val="28"/>
          <w:lang w:eastAsia="es-ES"/>
        </w:rPr>
        <w:t xml:space="preserve">va en contravía de los principios que rigen el derecho penal, puesto que haría innecesario verificar uno de los elementos del tipo o lo supondría automáticamente. </w:t>
      </w:r>
    </w:p>
    <w:p w:rsidR="00DF0AE9" w:rsidRPr="00CD542C" w:rsidRDefault="00DF0AE9" w:rsidP="00CD542C">
      <w:pPr>
        <w:spacing w:after="0" w:line="240" w:lineRule="auto"/>
        <w:jc w:val="both"/>
        <w:rPr>
          <w:rFonts w:ascii="Times New Roman" w:hAnsi="Times New Roman"/>
          <w:sz w:val="28"/>
          <w:szCs w:val="28"/>
        </w:rPr>
      </w:pPr>
    </w:p>
    <w:p w:rsidR="000E29B0" w:rsidRPr="00CD542C" w:rsidRDefault="00094DA7"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Al haber determinado el al</w:t>
      </w:r>
      <w:r w:rsidR="00CA2D32" w:rsidRPr="00CD542C">
        <w:rPr>
          <w:rFonts w:ascii="Times New Roman" w:hAnsi="Times New Roman"/>
          <w:sz w:val="28"/>
          <w:szCs w:val="28"/>
          <w:lang w:eastAsia="es-ES"/>
        </w:rPr>
        <w:t>c</w:t>
      </w:r>
      <w:r w:rsidRPr="00CD542C">
        <w:rPr>
          <w:rFonts w:ascii="Times New Roman" w:hAnsi="Times New Roman"/>
          <w:sz w:val="28"/>
          <w:szCs w:val="28"/>
          <w:lang w:eastAsia="es-ES"/>
        </w:rPr>
        <w:t>ance de la disposic</w:t>
      </w:r>
      <w:r w:rsidR="00951ADA" w:rsidRPr="00CD542C">
        <w:rPr>
          <w:rFonts w:ascii="Times New Roman" w:hAnsi="Times New Roman"/>
          <w:sz w:val="28"/>
          <w:szCs w:val="28"/>
          <w:lang w:eastAsia="es-ES"/>
        </w:rPr>
        <w:t xml:space="preserve">ión se pasa ahora a establecer </w:t>
      </w:r>
      <w:r w:rsidRPr="00CD542C">
        <w:rPr>
          <w:rFonts w:ascii="Times New Roman" w:hAnsi="Times New Roman"/>
          <w:sz w:val="28"/>
          <w:szCs w:val="28"/>
          <w:lang w:eastAsia="es-ES"/>
        </w:rPr>
        <w:t>e</w:t>
      </w:r>
      <w:r w:rsidR="00951ADA" w:rsidRPr="00CD542C">
        <w:rPr>
          <w:rFonts w:ascii="Times New Roman" w:hAnsi="Times New Roman"/>
          <w:sz w:val="28"/>
          <w:szCs w:val="28"/>
          <w:lang w:eastAsia="es-ES"/>
        </w:rPr>
        <w:t>l</w:t>
      </w:r>
      <w:r w:rsidRPr="00CD542C">
        <w:rPr>
          <w:rFonts w:ascii="Times New Roman" w:hAnsi="Times New Roman"/>
          <w:sz w:val="28"/>
          <w:szCs w:val="28"/>
          <w:lang w:eastAsia="es-ES"/>
        </w:rPr>
        <w:t xml:space="preserve"> problema jurídico, de acuerdo con los argumentos de la demanda y a plantear la metodología de resolución.</w:t>
      </w:r>
    </w:p>
    <w:p w:rsidR="000E29B0" w:rsidRPr="00CD542C" w:rsidRDefault="000E29B0" w:rsidP="00CD542C">
      <w:pPr>
        <w:spacing w:after="0" w:line="240" w:lineRule="auto"/>
        <w:jc w:val="both"/>
        <w:rPr>
          <w:rFonts w:ascii="Times New Roman" w:hAnsi="Times New Roman"/>
          <w:b/>
          <w:i/>
          <w:sz w:val="28"/>
          <w:szCs w:val="28"/>
          <w:lang w:eastAsia="es-ES"/>
        </w:rPr>
      </w:pPr>
    </w:p>
    <w:p w:rsidR="000E29B0" w:rsidRPr="00CD542C" w:rsidRDefault="000E29B0" w:rsidP="00CD542C">
      <w:pPr>
        <w:spacing w:after="0" w:line="240" w:lineRule="auto"/>
        <w:jc w:val="both"/>
        <w:rPr>
          <w:rFonts w:ascii="Times New Roman" w:hAnsi="Times New Roman"/>
          <w:iCs/>
          <w:sz w:val="28"/>
          <w:szCs w:val="28"/>
          <w:lang w:eastAsia="es-ES"/>
        </w:rPr>
      </w:pPr>
      <w:r w:rsidRPr="00CD542C">
        <w:rPr>
          <w:rFonts w:ascii="Times New Roman" w:hAnsi="Times New Roman"/>
          <w:b/>
          <w:iCs/>
          <w:sz w:val="28"/>
          <w:szCs w:val="28"/>
          <w:lang w:eastAsia="es-ES"/>
        </w:rPr>
        <w:t>Planteamiento del problema jurídico</w:t>
      </w:r>
      <w:r w:rsidR="007C26AF" w:rsidRPr="00CD542C">
        <w:rPr>
          <w:rFonts w:ascii="Times New Roman" w:hAnsi="Times New Roman"/>
          <w:b/>
          <w:iCs/>
          <w:sz w:val="28"/>
          <w:szCs w:val="28"/>
          <w:lang w:eastAsia="es-ES"/>
        </w:rPr>
        <w:t xml:space="preserve"> y metodología de resolución </w:t>
      </w:r>
      <w:r w:rsidRPr="00CD542C">
        <w:rPr>
          <w:rFonts w:ascii="Times New Roman" w:hAnsi="Times New Roman"/>
          <w:b/>
          <w:iCs/>
          <w:sz w:val="28"/>
          <w:szCs w:val="28"/>
          <w:lang w:eastAsia="es-ES"/>
        </w:rPr>
        <w:t xml:space="preserve"> </w:t>
      </w:r>
      <w:r w:rsidRPr="00CD542C">
        <w:rPr>
          <w:rFonts w:ascii="Times New Roman" w:hAnsi="Times New Roman"/>
          <w:iCs/>
          <w:sz w:val="28"/>
          <w:szCs w:val="28"/>
          <w:lang w:eastAsia="es-ES"/>
        </w:rPr>
        <w:t xml:space="preserve"> </w:t>
      </w:r>
    </w:p>
    <w:p w:rsidR="00094DA7" w:rsidRPr="00CD542C" w:rsidRDefault="00094DA7" w:rsidP="00CD542C">
      <w:pPr>
        <w:spacing w:after="0" w:line="240" w:lineRule="auto"/>
        <w:jc w:val="both"/>
        <w:rPr>
          <w:rFonts w:ascii="Times New Roman" w:hAnsi="Times New Roman"/>
          <w:sz w:val="28"/>
          <w:szCs w:val="28"/>
          <w:lang w:eastAsia="es-ES"/>
        </w:rPr>
      </w:pPr>
    </w:p>
    <w:p w:rsidR="00365597" w:rsidRPr="00CD542C" w:rsidRDefault="007C26AF"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 xml:space="preserve">15. </w:t>
      </w:r>
      <w:r w:rsidR="00951ADA" w:rsidRPr="00CD542C">
        <w:rPr>
          <w:rFonts w:ascii="Times New Roman" w:hAnsi="Times New Roman"/>
          <w:sz w:val="28"/>
          <w:szCs w:val="28"/>
          <w:lang w:eastAsia="es-ES"/>
        </w:rPr>
        <w:t>E</w:t>
      </w:r>
      <w:r w:rsidR="00365597" w:rsidRPr="00CD542C">
        <w:rPr>
          <w:rFonts w:ascii="Times New Roman" w:hAnsi="Times New Roman"/>
          <w:sz w:val="28"/>
          <w:szCs w:val="28"/>
          <w:lang w:eastAsia="es-ES"/>
        </w:rPr>
        <w:t>n el presente caso</w:t>
      </w:r>
      <w:r w:rsidR="00951ADA" w:rsidRPr="00CD542C">
        <w:rPr>
          <w:rFonts w:ascii="Times New Roman" w:hAnsi="Times New Roman"/>
          <w:sz w:val="28"/>
          <w:szCs w:val="28"/>
          <w:lang w:eastAsia="es-ES"/>
        </w:rPr>
        <w:t>,</w:t>
      </w:r>
      <w:r w:rsidR="00365597" w:rsidRPr="00CD542C">
        <w:rPr>
          <w:rFonts w:ascii="Times New Roman" w:hAnsi="Times New Roman"/>
          <w:sz w:val="28"/>
          <w:szCs w:val="28"/>
          <w:lang w:eastAsia="es-ES"/>
        </w:rPr>
        <w:t xml:space="preserve"> la Corte debe entrar a resolver el siguiente problema jurídico:</w:t>
      </w:r>
    </w:p>
    <w:p w:rsidR="00295B34" w:rsidRPr="00CD542C" w:rsidRDefault="00295B34" w:rsidP="00CD542C">
      <w:pPr>
        <w:spacing w:after="0" w:line="240" w:lineRule="auto"/>
        <w:jc w:val="both"/>
        <w:rPr>
          <w:rFonts w:ascii="Times New Roman" w:hAnsi="Times New Roman"/>
          <w:sz w:val="28"/>
          <w:szCs w:val="28"/>
        </w:rPr>
      </w:pPr>
    </w:p>
    <w:p w:rsidR="00365597" w:rsidRPr="00CD542C" w:rsidRDefault="00365597" w:rsidP="00CD542C">
      <w:pPr>
        <w:spacing w:after="0" w:line="240" w:lineRule="auto"/>
        <w:jc w:val="both"/>
        <w:rPr>
          <w:rFonts w:ascii="Times New Roman" w:hAnsi="Times New Roman"/>
          <w:sz w:val="28"/>
          <w:szCs w:val="28"/>
        </w:rPr>
      </w:pPr>
      <w:r w:rsidRPr="00CD542C">
        <w:rPr>
          <w:rFonts w:ascii="Times New Roman" w:hAnsi="Times New Roman"/>
          <w:sz w:val="28"/>
          <w:szCs w:val="28"/>
        </w:rPr>
        <w:t>¿La determinación de antecedentes o indicios de violencia o amenaza en las diferentes esferas sociales en contra</w:t>
      </w:r>
      <w:r w:rsidR="00156992" w:rsidRPr="00CD542C">
        <w:rPr>
          <w:rFonts w:ascii="Times New Roman" w:hAnsi="Times New Roman"/>
          <w:sz w:val="28"/>
          <w:szCs w:val="28"/>
        </w:rPr>
        <w:t xml:space="preserve"> de la mujer asesinada, </w:t>
      </w:r>
      <w:r w:rsidRPr="00CD542C">
        <w:rPr>
          <w:rFonts w:ascii="Times New Roman" w:hAnsi="Times New Roman"/>
          <w:sz w:val="28"/>
          <w:szCs w:val="28"/>
        </w:rPr>
        <w:t>sin contemplar una calificación especial</w:t>
      </w:r>
      <w:r w:rsidR="00156992" w:rsidRPr="00CD542C">
        <w:rPr>
          <w:rFonts w:ascii="Times New Roman" w:hAnsi="Times New Roman"/>
          <w:sz w:val="28"/>
          <w:szCs w:val="28"/>
        </w:rPr>
        <w:t>,</w:t>
      </w:r>
      <w:r w:rsidRPr="00CD542C">
        <w:rPr>
          <w:rFonts w:ascii="Times New Roman" w:hAnsi="Times New Roman"/>
          <w:sz w:val="28"/>
          <w:szCs w:val="28"/>
        </w:rPr>
        <w:t xml:space="preserve"> genera una indeterminación en el ingrediente subjetivo del tipo</w:t>
      </w:r>
      <w:r w:rsidR="00156992" w:rsidRPr="00CD542C">
        <w:rPr>
          <w:rFonts w:ascii="Times New Roman" w:hAnsi="Times New Roman"/>
          <w:sz w:val="28"/>
          <w:szCs w:val="28"/>
        </w:rPr>
        <w:t xml:space="preserve"> penal que hace que el mismo s</w:t>
      </w:r>
      <w:r w:rsidR="00270931" w:rsidRPr="00CD542C">
        <w:rPr>
          <w:rFonts w:ascii="Times New Roman" w:hAnsi="Times New Roman"/>
          <w:sz w:val="28"/>
          <w:szCs w:val="28"/>
        </w:rPr>
        <w:t>ea abierto</w:t>
      </w:r>
      <w:r w:rsidR="00156992" w:rsidRPr="00CD542C">
        <w:rPr>
          <w:rFonts w:ascii="Times New Roman" w:hAnsi="Times New Roman"/>
          <w:sz w:val="28"/>
          <w:szCs w:val="28"/>
        </w:rPr>
        <w:t xml:space="preserve"> </w:t>
      </w:r>
      <w:r w:rsidRPr="00CD542C">
        <w:rPr>
          <w:rFonts w:ascii="Times New Roman" w:hAnsi="Times New Roman"/>
          <w:sz w:val="28"/>
          <w:szCs w:val="28"/>
        </w:rPr>
        <w:t>y</w:t>
      </w:r>
      <w:r w:rsidR="00270931" w:rsidRPr="00CD542C">
        <w:rPr>
          <w:rFonts w:ascii="Times New Roman" w:hAnsi="Times New Roman"/>
          <w:sz w:val="28"/>
          <w:szCs w:val="28"/>
        </w:rPr>
        <w:t>,</w:t>
      </w:r>
      <w:r w:rsidRPr="00CD542C">
        <w:rPr>
          <w:rFonts w:ascii="Times New Roman" w:hAnsi="Times New Roman"/>
          <w:sz w:val="28"/>
          <w:szCs w:val="28"/>
        </w:rPr>
        <w:t xml:space="preserve"> por lo tanto</w:t>
      </w:r>
      <w:r w:rsidR="00156992" w:rsidRPr="00CD542C">
        <w:rPr>
          <w:rFonts w:ascii="Times New Roman" w:hAnsi="Times New Roman"/>
          <w:sz w:val="28"/>
          <w:szCs w:val="28"/>
        </w:rPr>
        <w:t>,</w:t>
      </w:r>
      <w:r w:rsidRPr="00CD542C">
        <w:rPr>
          <w:rFonts w:ascii="Times New Roman" w:hAnsi="Times New Roman"/>
          <w:sz w:val="28"/>
          <w:szCs w:val="28"/>
        </w:rPr>
        <w:t xml:space="preserve"> viole el principio de legalidad y el derecho al debido proceso (arts.</w:t>
      </w:r>
      <w:r w:rsidR="00270931" w:rsidRPr="00CD542C">
        <w:rPr>
          <w:rFonts w:ascii="Times New Roman" w:hAnsi="Times New Roman"/>
          <w:sz w:val="28"/>
          <w:szCs w:val="28"/>
        </w:rPr>
        <w:t xml:space="preserve"> </w:t>
      </w:r>
      <w:r w:rsidRPr="00CD542C">
        <w:rPr>
          <w:rFonts w:ascii="Times New Roman" w:hAnsi="Times New Roman"/>
          <w:sz w:val="28"/>
          <w:szCs w:val="28"/>
        </w:rPr>
        <w:t>1</w:t>
      </w:r>
      <w:r w:rsidR="00270931" w:rsidRPr="00CD542C">
        <w:rPr>
          <w:rFonts w:ascii="Times New Roman" w:hAnsi="Times New Roman"/>
          <w:sz w:val="28"/>
          <w:szCs w:val="28"/>
        </w:rPr>
        <w:t>º</w:t>
      </w:r>
      <w:r w:rsidRPr="00CD542C">
        <w:rPr>
          <w:rFonts w:ascii="Times New Roman" w:hAnsi="Times New Roman"/>
          <w:sz w:val="28"/>
          <w:szCs w:val="28"/>
        </w:rPr>
        <w:t xml:space="preserve"> y 29 CP)?</w:t>
      </w:r>
    </w:p>
    <w:p w:rsidR="00295B34" w:rsidRPr="00CD542C" w:rsidRDefault="00295B34" w:rsidP="00CD542C">
      <w:pPr>
        <w:spacing w:after="0" w:line="240" w:lineRule="auto"/>
        <w:rPr>
          <w:rFonts w:ascii="Times New Roman" w:hAnsi="Times New Roman"/>
          <w:sz w:val="28"/>
          <w:szCs w:val="28"/>
        </w:rPr>
      </w:pPr>
    </w:p>
    <w:p w:rsidR="00365597" w:rsidRPr="00CD542C" w:rsidRDefault="00365597"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Para resolver el problema jurídico, la Corte abordará el marco constitucional sobre: i) el principio de legalidad</w:t>
      </w:r>
      <w:r w:rsidR="00F10D05" w:rsidRPr="00CD542C">
        <w:rPr>
          <w:rFonts w:ascii="Times New Roman" w:hAnsi="Times New Roman"/>
          <w:sz w:val="28"/>
          <w:szCs w:val="28"/>
          <w:lang w:eastAsia="es-ES"/>
        </w:rPr>
        <w:t>,</w:t>
      </w:r>
      <w:r w:rsidRPr="00CD542C">
        <w:rPr>
          <w:rFonts w:ascii="Times New Roman" w:hAnsi="Times New Roman"/>
          <w:sz w:val="28"/>
          <w:szCs w:val="28"/>
          <w:lang w:eastAsia="es-ES"/>
        </w:rPr>
        <w:t xml:space="preserve"> </w:t>
      </w:r>
      <w:r w:rsidR="00F55D81" w:rsidRPr="00CD542C">
        <w:rPr>
          <w:rFonts w:ascii="Times New Roman" w:hAnsi="Times New Roman"/>
          <w:sz w:val="28"/>
          <w:szCs w:val="28"/>
          <w:lang w:eastAsia="es-ES"/>
        </w:rPr>
        <w:t xml:space="preserve">la tipicidad y el derecho al debido proceso </w:t>
      </w:r>
      <w:r w:rsidRPr="00CD542C">
        <w:rPr>
          <w:rFonts w:ascii="Times New Roman" w:hAnsi="Times New Roman"/>
          <w:sz w:val="28"/>
          <w:szCs w:val="28"/>
          <w:lang w:eastAsia="es-ES"/>
        </w:rPr>
        <w:t>(r</w:t>
      </w:r>
      <w:r w:rsidR="00502F21" w:rsidRPr="00CD542C">
        <w:rPr>
          <w:rFonts w:ascii="Times New Roman" w:hAnsi="Times New Roman"/>
          <w:sz w:val="28"/>
          <w:szCs w:val="28"/>
          <w:lang w:eastAsia="es-ES"/>
        </w:rPr>
        <w:t>eiteración de jurisprudencia);</w:t>
      </w:r>
      <w:r w:rsidRPr="00CD542C">
        <w:rPr>
          <w:rFonts w:ascii="Times New Roman" w:hAnsi="Times New Roman"/>
          <w:sz w:val="28"/>
          <w:szCs w:val="28"/>
          <w:lang w:eastAsia="es-ES"/>
        </w:rPr>
        <w:t xml:space="preserve"> ii) los tipos penales abiertos</w:t>
      </w:r>
      <w:r w:rsidR="00502F21" w:rsidRPr="00CD542C">
        <w:rPr>
          <w:rFonts w:ascii="Times New Roman" w:hAnsi="Times New Roman"/>
          <w:sz w:val="28"/>
          <w:szCs w:val="28"/>
          <w:lang w:eastAsia="es-ES"/>
        </w:rPr>
        <w:t xml:space="preserve"> y en blanco</w:t>
      </w:r>
      <w:r w:rsidRPr="00CD542C">
        <w:rPr>
          <w:rFonts w:ascii="Times New Roman" w:hAnsi="Times New Roman"/>
          <w:sz w:val="28"/>
          <w:szCs w:val="28"/>
          <w:lang w:eastAsia="es-ES"/>
        </w:rPr>
        <w:t>;</w:t>
      </w:r>
      <w:r w:rsidR="00502F21" w:rsidRPr="00CD542C">
        <w:rPr>
          <w:rFonts w:ascii="Times New Roman" w:hAnsi="Times New Roman"/>
          <w:sz w:val="28"/>
          <w:szCs w:val="28"/>
          <w:lang w:eastAsia="es-ES"/>
        </w:rPr>
        <w:t xml:space="preserve"> </w:t>
      </w:r>
      <w:r w:rsidR="00B80BE1" w:rsidRPr="00CD542C">
        <w:rPr>
          <w:rFonts w:ascii="Times New Roman" w:hAnsi="Times New Roman"/>
          <w:sz w:val="28"/>
          <w:szCs w:val="28"/>
          <w:lang w:eastAsia="es-ES"/>
        </w:rPr>
        <w:t xml:space="preserve">iii) el derecho de las mujeres a estar libres de violencia y los correlativos deberes </w:t>
      </w:r>
      <w:r w:rsidR="00B80BE1" w:rsidRPr="00CD542C">
        <w:rPr>
          <w:rFonts w:ascii="Times New Roman" w:hAnsi="Times New Roman"/>
          <w:sz w:val="28"/>
          <w:szCs w:val="28"/>
          <w:lang w:eastAsia="es-ES"/>
        </w:rPr>
        <w:lastRenderedPageBreak/>
        <w:t xml:space="preserve">estatales; </w:t>
      </w:r>
      <w:r w:rsidR="00502F21" w:rsidRPr="00CD542C">
        <w:rPr>
          <w:rFonts w:ascii="Times New Roman" w:hAnsi="Times New Roman"/>
          <w:sz w:val="28"/>
          <w:szCs w:val="28"/>
          <w:lang w:eastAsia="es-ES"/>
        </w:rPr>
        <w:t>y</w:t>
      </w:r>
      <w:r w:rsidR="00B80BE1" w:rsidRPr="00CD542C">
        <w:rPr>
          <w:rFonts w:ascii="Times New Roman" w:hAnsi="Times New Roman"/>
          <w:sz w:val="28"/>
          <w:szCs w:val="28"/>
          <w:lang w:eastAsia="es-ES"/>
        </w:rPr>
        <w:t xml:space="preserve"> iv</w:t>
      </w:r>
      <w:r w:rsidRPr="00CD542C">
        <w:rPr>
          <w:rFonts w:ascii="Times New Roman" w:hAnsi="Times New Roman"/>
          <w:sz w:val="28"/>
          <w:szCs w:val="28"/>
          <w:lang w:eastAsia="es-ES"/>
        </w:rPr>
        <w:t>)</w:t>
      </w:r>
      <w:r w:rsidR="00502F21" w:rsidRPr="00CD542C">
        <w:rPr>
          <w:rFonts w:ascii="Times New Roman" w:hAnsi="Times New Roman"/>
          <w:sz w:val="28"/>
          <w:szCs w:val="28"/>
          <w:lang w:eastAsia="es-ES"/>
        </w:rPr>
        <w:t xml:space="preserve"> la tipificació</w:t>
      </w:r>
      <w:r w:rsidR="00B80BE1" w:rsidRPr="00CD542C">
        <w:rPr>
          <w:rFonts w:ascii="Times New Roman" w:hAnsi="Times New Roman"/>
          <w:sz w:val="28"/>
          <w:szCs w:val="28"/>
          <w:lang w:eastAsia="es-ES"/>
        </w:rPr>
        <w:t xml:space="preserve">n del feminicidio en contexto; </w:t>
      </w:r>
      <w:r w:rsidR="00502F21" w:rsidRPr="00CD542C">
        <w:rPr>
          <w:rFonts w:ascii="Times New Roman" w:hAnsi="Times New Roman"/>
          <w:sz w:val="28"/>
          <w:szCs w:val="28"/>
          <w:lang w:eastAsia="es-ES"/>
        </w:rPr>
        <w:t>v)</w:t>
      </w:r>
      <w:r w:rsidRPr="00CD542C">
        <w:rPr>
          <w:rFonts w:ascii="Times New Roman" w:hAnsi="Times New Roman"/>
          <w:sz w:val="28"/>
          <w:szCs w:val="28"/>
          <w:lang w:eastAsia="es-ES"/>
        </w:rPr>
        <w:t xml:space="preserve"> para con fundamento en lo anterior </w:t>
      </w:r>
      <w:r w:rsidR="004326B8" w:rsidRPr="00CD542C">
        <w:rPr>
          <w:rFonts w:ascii="Times New Roman" w:hAnsi="Times New Roman"/>
          <w:sz w:val="28"/>
          <w:szCs w:val="28"/>
          <w:lang w:eastAsia="es-ES"/>
        </w:rPr>
        <w:t>dar respuesta a</w:t>
      </w:r>
      <w:r w:rsidR="005C0E76" w:rsidRPr="00CD542C">
        <w:rPr>
          <w:rFonts w:ascii="Times New Roman" w:hAnsi="Times New Roman"/>
          <w:sz w:val="28"/>
          <w:szCs w:val="28"/>
          <w:lang w:eastAsia="es-ES"/>
        </w:rPr>
        <w:t>l problema jurídico</w:t>
      </w:r>
      <w:r w:rsidRPr="00CD542C">
        <w:rPr>
          <w:rFonts w:ascii="Times New Roman" w:hAnsi="Times New Roman"/>
          <w:sz w:val="28"/>
          <w:szCs w:val="28"/>
          <w:lang w:eastAsia="es-ES"/>
        </w:rPr>
        <w:t xml:space="preserve"> plantea</w:t>
      </w:r>
      <w:r w:rsidR="005C0E76" w:rsidRPr="00CD542C">
        <w:rPr>
          <w:rFonts w:ascii="Times New Roman" w:hAnsi="Times New Roman"/>
          <w:sz w:val="28"/>
          <w:szCs w:val="28"/>
          <w:lang w:eastAsia="es-ES"/>
        </w:rPr>
        <w:t>do</w:t>
      </w:r>
      <w:r w:rsidRPr="00CD542C">
        <w:rPr>
          <w:rFonts w:ascii="Times New Roman" w:hAnsi="Times New Roman"/>
          <w:sz w:val="28"/>
          <w:szCs w:val="28"/>
          <w:lang w:eastAsia="es-ES"/>
        </w:rPr>
        <w:t xml:space="preserve">. </w:t>
      </w:r>
    </w:p>
    <w:p w:rsidR="00DF0AE9" w:rsidRPr="00CD542C" w:rsidRDefault="00DF0AE9" w:rsidP="00CD542C">
      <w:pPr>
        <w:spacing w:after="0" w:line="240" w:lineRule="auto"/>
        <w:jc w:val="both"/>
        <w:rPr>
          <w:rFonts w:ascii="Times New Roman" w:hAnsi="Times New Roman"/>
          <w:sz w:val="28"/>
          <w:szCs w:val="28"/>
        </w:rPr>
      </w:pPr>
    </w:p>
    <w:p w:rsidR="00DF0AE9" w:rsidRPr="00CD542C" w:rsidRDefault="000E3AF4" w:rsidP="00CD542C">
      <w:pPr>
        <w:spacing w:after="0" w:line="240" w:lineRule="auto"/>
        <w:jc w:val="both"/>
        <w:rPr>
          <w:rFonts w:ascii="Times New Roman" w:hAnsi="Times New Roman"/>
          <w:b/>
          <w:bCs/>
          <w:sz w:val="28"/>
          <w:szCs w:val="28"/>
        </w:rPr>
      </w:pPr>
      <w:r w:rsidRPr="00CD542C">
        <w:rPr>
          <w:rFonts w:ascii="Times New Roman" w:hAnsi="Times New Roman"/>
          <w:b/>
          <w:bCs/>
          <w:sz w:val="28"/>
          <w:szCs w:val="28"/>
        </w:rPr>
        <w:t>El principio de legalidad</w:t>
      </w:r>
      <w:r w:rsidR="00316403" w:rsidRPr="00CD542C">
        <w:rPr>
          <w:rFonts w:ascii="Times New Roman" w:hAnsi="Times New Roman"/>
          <w:b/>
          <w:bCs/>
          <w:sz w:val="28"/>
          <w:szCs w:val="28"/>
        </w:rPr>
        <w:t>, la tipicidad y el derecho al debido proceso</w:t>
      </w:r>
      <w:r w:rsidRPr="00CD542C">
        <w:rPr>
          <w:rFonts w:ascii="Times New Roman" w:hAnsi="Times New Roman"/>
          <w:b/>
          <w:bCs/>
          <w:sz w:val="28"/>
          <w:szCs w:val="28"/>
        </w:rPr>
        <w:t>. Reiteración de jurisprudencia</w:t>
      </w:r>
    </w:p>
    <w:p w:rsidR="00866C28" w:rsidRPr="00CD542C" w:rsidRDefault="00866C28" w:rsidP="00CD542C">
      <w:pPr>
        <w:spacing w:after="0" w:line="240" w:lineRule="auto"/>
        <w:rPr>
          <w:rFonts w:ascii="Times New Roman" w:hAnsi="Times New Roman"/>
          <w:sz w:val="28"/>
          <w:szCs w:val="28"/>
        </w:rPr>
      </w:pPr>
    </w:p>
    <w:p w:rsidR="00F10D05" w:rsidRPr="00CD542C" w:rsidRDefault="00C11A71" w:rsidP="00CD542C">
      <w:pPr>
        <w:spacing w:after="0" w:line="240" w:lineRule="auto"/>
        <w:jc w:val="both"/>
        <w:rPr>
          <w:rFonts w:ascii="Times New Roman" w:hAnsi="Times New Roman"/>
          <w:sz w:val="28"/>
          <w:szCs w:val="28"/>
        </w:rPr>
      </w:pPr>
      <w:r w:rsidRPr="00CD542C">
        <w:rPr>
          <w:rFonts w:ascii="Times New Roman" w:hAnsi="Times New Roman"/>
          <w:sz w:val="28"/>
          <w:szCs w:val="28"/>
        </w:rPr>
        <w:t>16</w:t>
      </w:r>
      <w:r w:rsidR="00316403" w:rsidRPr="00CD542C">
        <w:rPr>
          <w:rFonts w:ascii="Times New Roman" w:hAnsi="Times New Roman"/>
          <w:sz w:val="28"/>
          <w:szCs w:val="28"/>
        </w:rPr>
        <w:t xml:space="preserve">. </w:t>
      </w:r>
      <w:r w:rsidR="00B70FC5" w:rsidRPr="00CD542C">
        <w:rPr>
          <w:rFonts w:ascii="Times New Roman" w:hAnsi="Times New Roman"/>
          <w:sz w:val="28"/>
          <w:szCs w:val="28"/>
        </w:rPr>
        <w:t xml:space="preserve">Como </w:t>
      </w:r>
      <w:r w:rsidR="002F156B" w:rsidRPr="00CD542C">
        <w:rPr>
          <w:rFonts w:ascii="Times New Roman" w:hAnsi="Times New Roman"/>
          <w:sz w:val="28"/>
          <w:szCs w:val="28"/>
        </w:rPr>
        <w:t xml:space="preserve">lo </w:t>
      </w:r>
      <w:r w:rsidR="00951ADA" w:rsidRPr="00CD542C">
        <w:rPr>
          <w:rFonts w:ascii="Times New Roman" w:hAnsi="Times New Roman"/>
          <w:sz w:val="28"/>
          <w:szCs w:val="28"/>
        </w:rPr>
        <w:t xml:space="preserve">ha establecido </w:t>
      </w:r>
      <w:r w:rsidR="00951ADA" w:rsidRPr="00CD542C">
        <w:rPr>
          <w:rFonts w:ascii="Times New Roman" w:hAnsi="Times New Roman"/>
          <w:i/>
          <w:iCs/>
          <w:sz w:val="28"/>
          <w:szCs w:val="28"/>
        </w:rPr>
        <w:t>i</w:t>
      </w:r>
      <w:r w:rsidR="00FB4598" w:rsidRPr="00CD542C">
        <w:rPr>
          <w:rFonts w:ascii="Times New Roman" w:hAnsi="Times New Roman"/>
          <w:i/>
          <w:iCs/>
          <w:sz w:val="28"/>
          <w:szCs w:val="28"/>
        </w:rPr>
        <w:t>n extenso</w:t>
      </w:r>
      <w:r w:rsidR="00FB4598" w:rsidRPr="00CD542C">
        <w:rPr>
          <w:rFonts w:ascii="Times New Roman" w:hAnsi="Times New Roman"/>
          <w:sz w:val="28"/>
          <w:szCs w:val="28"/>
        </w:rPr>
        <w:t xml:space="preserve"> la Corte Constitucional</w:t>
      </w:r>
      <w:r w:rsidR="002F156B" w:rsidRPr="00CD542C">
        <w:rPr>
          <w:rFonts w:ascii="Times New Roman" w:hAnsi="Times New Roman"/>
          <w:sz w:val="28"/>
          <w:szCs w:val="28"/>
        </w:rPr>
        <w:t xml:space="preserve">, la facultad punitiva del Estado se concreta en un </w:t>
      </w:r>
      <w:r w:rsidR="002F156B" w:rsidRPr="00CD542C">
        <w:rPr>
          <w:rFonts w:ascii="Times New Roman" w:hAnsi="Times New Roman"/>
          <w:i/>
          <w:iCs/>
          <w:sz w:val="28"/>
          <w:szCs w:val="28"/>
        </w:rPr>
        <w:t>conjunto</w:t>
      </w:r>
      <w:r w:rsidR="002F156B" w:rsidRPr="00CD542C">
        <w:rPr>
          <w:rFonts w:ascii="Times New Roman" w:hAnsi="Times New Roman"/>
          <w:sz w:val="28"/>
          <w:szCs w:val="28"/>
        </w:rPr>
        <w:t xml:space="preserve"> de normas que dictan cuales son los bienes jurídicos protegidos mediante el derecho penal, que indican las conductas que constituyen delitos y que por lo</w:t>
      </w:r>
      <w:r w:rsidR="00F10D05" w:rsidRPr="00CD542C">
        <w:rPr>
          <w:rFonts w:ascii="Times New Roman" w:hAnsi="Times New Roman"/>
          <w:sz w:val="28"/>
          <w:szCs w:val="28"/>
        </w:rPr>
        <w:t xml:space="preserve"> tanto son susceptibles de sanciones</w:t>
      </w:r>
      <w:r w:rsidR="002F156B" w:rsidRPr="00CD542C">
        <w:rPr>
          <w:rFonts w:ascii="Times New Roman" w:hAnsi="Times New Roman"/>
          <w:sz w:val="28"/>
          <w:szCs w:val="28"/>
        </w:rPr>
        <w:t xml:space="preserve"> si se cometen. No obstante, esta facultad</w:t>
      </w:r>
      <w:r w:rsidR="00D36BBB" w:rsidRPr="00CD542C">
        <w:rPr>
          <w:rFonts w:ascii="Times New Roman" w:hAnsi="Times New Roman"/>
          <w:sz w:val="28"/>
          <w:szCs w:val="28"/>
        </w:rPr>
        <w:t xml:space="preserve"> atribuida al Legislador</w:t>
      </w:r>
      <w:r w:rsidR="002F156B" w:rsidRPr="00CD542C">
        <w:rPr>
          <w:rFonts w:ascii="Times New Roman" w:hAnsi="Times New Roman"/>
          <w:sz w:val="28"/>
          <w:szCs w:val="28"/>
        </w:rPr>
        <w:t xml:space="preserve"> encuentra límites en la Constitución. </w:t>
      </w:r>
      <w:r w:rsidR="00F10D05" w:rsidRPr="00CD542C">
        <w:rPr>
          <w:rFonts w:ascii="Times New Roman" w:hAnsi="Times New Roman"/>
          <w:sz w:val="28"/>
          <w:szCs w:val="28"/>
        </w:rPr>
        <w:t>Estos límites pueden ser</w:t>
      </w:r>
      <w:r w:rsidR="00FE2B02" w:rsidRPr="00CD542C">
        <w:rPr>
          <w:rFonts w:ascii="Times New Roman" w:hAnsi="Times New Roman"/>
          <w:sz w:val="28"/>
          <w:szCs w:val="28"/>
        </w:rPr>
        <w:t xml:space="preserve"> explí</w:t>
      </w:r>
      <w:r w:rsidR="00F10D05" w:rsidRPr="00CD542C">
        <w:rPr>
          <w:rFonts w:ascii="Times New Roman" w:hAnsi="Times New Roman"/>
          <w:sz w:val="28"/>
          <w:szCs w:val="28"/>
        </w:rPr>
        <w:t xml:space="preserve">citos, en relación con aquellos expresamente consignados en la Carta, o </w:t>
      </w:r>
      <w:r w:rsidR="00F31BDF" w:rsidRPr="00CD542C">
        <w:rPr>
          <w:rFonts w:ascii="Times New Roman" w:hAnsi="Times New Roman"/>
          <w:sz w:val="28"/>
          <w:szCs w:val="28"/>
        </w:rPr>
        <w:t>implícitos, como aquellos que</w:t>
      </w:r>
      <w:r w:rsidR="00FE2B02" w:rsidRPr="00CD542C">
        <w:rPr>
          <w:rFonts w:ascii="Times New Roman" w:hAnsi="Times New Roman"/>
          <w:sz w:val="28"/>
          <w:szCs w:val="28"/>
        </w:rPr>
        <w:t xml:space="preserve"> surgen de una lectura y aplicación sistemática de ésta. Los límites implícitos buscan la realización de los fines del Estado Social de Derecho, por lo tanto, el Leg</w:t>
      </w:r>
      <w:r w:rsidR="00951ADA" w:rsidRPr="00CD542C">
        <w:rPr>
          <w:rFonts w:ascii="Times New Roman" w:hAnsi="Times New Roman"/>
          <w:sz w:val="28"/>
          <w:szCs w:val="28"/>
        </w:rPr>
        <w:t>islador en su ejercicio de</w:t>
      </w:r>
      <w:r w:rsidR="00FE2B02" w:rsidRPr="00CD542C">
        <w:rPr>
          <w:rFonts w:ascii="Times New Roman" w:hAnsi="Times New Roman"/>
          <w:sz w:val="28"/>
          <w:szCs w:val="28"/>
        </w:rPr>
        <w:t xml:space="preserve"> configuración penal debe actuar de forma razonable y proporcionada para garantizar que los principios, derechos y deberes establecidos en la Constitución se respeten.</w:t>
      </w:r>
    </w:p>
    <w:p w:rsidR="00F10D05" w:rsidRPr="00CD542C" w:rsidRDefault="00F10D05" w:rsidP="00CD542C">
      <w:pPr>
        <w:spacing w:after="0" w:line="240" w:lineRule="auto"/>
        <w:jc w:val="both"/>
        <w:rPr>
          <w:rFonts w:ascii="Times New Roman" w:hAnsi="Times New Roman"/>
          <w:sz w:val="28"/>
          <w:szCs w:val="28"/>
        </w:rPr>
      </w:pPr>
    </w:p>
    <w:p w:rsidR="00FE2B02" w:rsidRPr="00CD542C" w:rsidRDefault="00FE2B02" w:rsidP="00CD542C">
      <w:pPr>
        <w:spacing w:after="0" w:line="240" w:lineRule="auto"/>
        <w:jc w:val="both"/>
        <w:rPr>
          <w:rFonts w:ascii="Times New Roman" w:hAnsi="Times New Roman"/>
          <w:sz w:val="28"/>
          <w:szCs w:val="28"/>
        </w:rPr>
      </w:pPr>
      <w:r w:rsidRPr="00CD542C">
        <w:rPr>
          <w:rFonts w:ascii="Times New Roman" w:hAnsi="Times New Roman"/>
          <w:sz w:val="28"/>
          <w:szCs w:val="28"/>
        </w:rPr>
        <w:t>En este sentido, uno de los lí</w:t>
      </w:r>
      <w:r w:rsidR="00125A5C" w:rsidRPr="00CD542C">
        <w:rPr>
          <w:rFonts w:ascii="Times New Roman" w:hAnsi="Times New Roman"/>
          <w:sz w:val="28"/>
          <w:szCs w:val="28"/>
        </w:rPr>
        <w:t>mites al libre margen</w:t>
      </w:r>
      <w:r w:rsidRPr="00CD542C">
        <w:rPr>
          <w:rFonts w:ascii="Times New Roman" w:hAnsi="Times New Roman"/>
          <w:sz w:val="28"/>
          <w:szCs w:val="28"/>
        </w:rPr>
        <w:t xml:space="preserve"> de configuración del Legislador</w:t>
      </w:r>
      <w:r w:rsidR="00125A5C" w:rsidRPr="00CD542C">
        <w:rPr>
          <w:rFonts w:ascii="Times New Roman" w:hAnsi="Times New Roman"/>
          <w:sz w:val="28"/>
          <w:szCs w:val="28"/>
        </w:rPr>
        <w:t xml:space="preserve"> en materia penal</w:t>
      </w:r>
      <w:r w:rsidRPr="00CD542C">
        <w:rPr>
          <w:rFonts w:ascii="Times New Roman" w:hAnsi="Times New Roman"/>
          <w:sz w:val="28"/>
          <w:szCs w:val="28"/>
        </w:rPr>
        <w:t xml:space="preserve"> es el principio de legalidad, que a su vez materializa el derecho al debido proceso</w:t>
      </w:r>
      <w:r w:rsidR="00125A5C" w:rsidRPr="00CD542C">
        <w:rPr>
          <w:rFonts w:ascii="Times New Roman" w:hAnsi="Times New Roman"/>
          <w:sz w:val="28"/>
          <w:szCs w:val="28"/>
        </w:rPr>
        <w:t xml:space="preserve">. </w:t>
      </w:r>
      <w:r w:rsidR="00AB323E" w:rsidRPr="00CD542C">
        <w:rPr>
          <w:rFonts w:ascii="Times New Roman" w:hAnsi="Times New Roman"/>
          <w:sz w:val="28"/>
          <w:szCs w:val="28"/>
        </w:rPr>
        <w:t xml:space="preserve">Como lo ha indicado la jurisprudencia, el principio de legalidad  </w:t>
      </w:r>
      <w:r w:rsidRPr="00CD542C">
        <w:rPr>
          <w:rFonts w:ascii="Times New Roman" w:hAnsi="Times New Roman"/>
          <w:sz w:val="28"/>
          <w:szCs w:val="28"/>
        </w:rPr>
        <w:t>establece que</w:t>
      </w:r>
      <w:r w:rsidR="00125A5C" w:rsidRPr="00CD542C">
        <w:rPr>
          <w:rFonts w:ascii="Times New Roman" w:hAnsi="Times New Roman"/>
          <w:sz w:val="28"/>
          <w:szCs w:val="28"/>
        </w:rPr>
        <w:t xml:space="preserve"> las personas só</w:t>
      </w:r>
      <w:r w:rsidRPr="00CD542C">
        <w:rPr>
          <w:rFonts w:ascii="Times New Roman" w:hAnsi="Times New Roman"/>
          <w:sz w:val="28"/>
          <w:szCs w:val="28"/>
        </w:rPr>
        <w:t>lo pueden ser investigadas, acusadas, juzgadas y sancionadas penalmente por las acciones u omisiones que constituyan un delito y que hayan sido establecidos previam</w:t>
      </w:r>
      <w:r w:rsidR="00125A5C" w:rsidRPr="00CD542C">
        <w:rPr>
          <w:rFonts w:ascii="Times New Roman" w:hAnsi="Times New Roman"/>
          <w:sz w:val="28"/>
          <w:szCs w:val="28"/>
        </w:rPr>
        <w:t xml:space="preserve">ente en la ley. </w:t>
      </w:r>
      <w:r w:rsidR="00AC22E0" w:rsidRPr="00CD542C">
        <w:rPr>
          <w:rFonts w:ascii="Times New Roman" w:hAnsi="Times New Roman"/>
          <w:sz w:val="28"/>
          <w:szCs w:val="28"/>
        </w:rPr>
        <w:t>Luego</w:t>
      </w:r>
      <w:r w:rsidR="00125A5C" w:rsidRPr="00CD542C">
        <w:rPr>
          <w:rFonts w:ascii="Times New Roman" w:hAnsi="Times New Roman"/>
          <w:sz w:val="28"/>
          <w:szCs w:val="28"/>
        </w:rPr>
        <w:t>, se trata de</w:t>
      </w:r>
      <w:r w:rsidRPr="00CD542C">
        <w:rPr>
          <w:rFonts w:ascii="Times New Roman" w:hAnsi="Times New Roman"/>
          <w:sz w:val="28"/>
          <w:szCs w:val="28"/>
        </w:rPr>
        <w:t xml:space="preserve"> una reserva legal calificada, puesto que el delito </w:t>
      </w:r>
      <w:r w:rsidR="00125A5C" w:rsidRPr="00CD542C">
        <w:rPr>
          <w:rFonts w:ascii="Times New Roman" w:hAnsi="Times New Roman"/>
          <w:sz w:val="28"/>
          <w:szCs w:val="28"/>
        </w:rPr>
        <w:t>no sólo debe</w:t>
      </w:r>
      <w:r w:rsidR="009401BC" w:rsidRPr="00CD542C">
        <w:rPr>
          <w:rFonts w:ascii="Times New Roman" w:hAnsi="Times New Roman"/>
          <w:sz w:val="28"/>
          <w:szCs w:val="28"/>
        </w:rPr>
        <w:t xml:space="preserve"> e</w:t>
      </w:r>
      <w:r w:rsidR="00125A5C" w:rsidRPr="00CD542C">
        <w:rPr>
          <w:rFonts w:ascii="Times New Roman" w:hAnsi="Times New Roman"/>
          <w:sz w:val="28"/>
          <w:szCs w:val="28"/>
        </w:rPr>
        <w:t>star consignado de forma previa sino también de manera</w:t>
      </w:r>
      <w:r w:rsidR="009401BC" w:rsidRPr="00CD542C">
        <w:rPr>
          <w:rFonts w:ascii="Times New Roman" w:hAnsi="Times New Roman"/>
          <w:sz w:val="28"/>
          <w:szCs w:val="28"/>
        </w:rPr>
        <w:t xml:space="preserve"> clara, expresa, precisa e inequívoca. </w:t>
      </w:r>
      <w:r w:rsidR="00AC22E0" w:rsidRPr="00CD542C">
        <w:rPr>
          <w:rFonts w:ascii="Times New Roman" w:hAnsi="Times New Roman"/>
          <w:sz w:val="28"/>
          <w:szCs w:val="28"/>
        </w:rPr>
        <w:t>Igualmente</w:t>
      </w:r>
      <w:r w:rsidR="00125A5C" w:rsidRPr="00CD542C">
        <w:rPr>
          <w:rFonts w:ascii="Times New Roman" w:hAnsi="Times New Roman"/>
          <w:sz w:val="28"/>
          <w:szCs w:val="28"/>
        </w:rPr>
        <w:t>, la jurisprudencia ha dicho que el princi</w:t>
      </w:r>
      <w:r w:rsidR="00F45A3F" w:rsidRPr="00CD542C">
        <w:rPr>
          <w:rFonts w:ascii="Times New Roman" w:hAnsi="Times New Roman"/>
          <w:sz w:val="28"/>
          <w:szCs w:val="28"/>
        </w:rPr>
        <w:t>pio de legalidad en sentido amplio</w:t>
      </w:r>
      <w:r w:rsidR="00125A5C" w:rsidRPr="00CD542C">
        <w:rPr>
          <w:rFonts w:ascii="Times New Roman" w:hAnsi="Times New Roman"/>
          <w:sz w:val="28"/>
          <w:szCs w:val="28"/>
        </w:rPr>
        <w:t xml:space="preserve"> comprende la reserva legal previa, mientras que en sentido estricto se refiere al princ</w:t>
      </w:r>
      <w:r w:rsidR="00616546" w:rsidRPr="00CD542C">
        <w:rPr>
          <w:rFonts w:ascii="Times New Roman" w:hAnsi="Times New Roman"/>
          <w:sz w:val="28"/>
          <w:szCs w:val="28"/>
        </w:rPr>
        <w:t>ipio de tipicidad o taxatividad que se refiere al carácter inequívoco de cómo se tipifica la conducta</w:t>
      </w:r>
      <w:r w:rsidR="00951ADA" w:rsidRPr="00CD542C">
        <w:rPr>
          <w:rFonts w:ascii="Times New Roman" w:hAnsi="Times New Roman"/>
          <w:sz w:val="28"/>
          <w:szCs w:val="28"/>
        </w:rPr>
        <w:t xml:space="preserve"> y cuál es la sanción</w:t>
      </w:r>
      <w:r w:rsidR="00616546" w:rsidRPr="00CD542C">
        <w:rPr>
          <w:rFonts w:ascii="Times New Roman" w:hAnsi="Times New Roman"/>
          <w:sz w:val="28"/>
          <w:szCs w:val="28"/>
        </w:rPr>
        <w:t>, para que no exista cabida a la subjetividad o arbitrariedad en la aplicación de la norma por el juez penal</w:t>
      </w:r>
      <w:r w:rsidR="00D81399" w:rsidRPr="00CD542C">
        <w:rPr>
          <w:rFonts w:ascii="Times New Roman" w:hAnsi="Times New Roman"/>
          <w:sz w:val="28"/>
          <w:szCs w:val="28"/>
        </w:rPr>
        <w:t xml:space="preserve"> y a su vez,</w:t>
      </w:r>
      <w:r w:rsidR="00D175A2" w:rsidRPr="00CD542C">
        <w:rPr>
          <w:rFonts w:ascii="Times New Roman" w:hAnsi="Times New Roman"/>
          <w:sz w:val="28"/>
          <w:szCs w:val="28"/>
        </w:rPr>
        <w:t xml:space="preserve"> que</w:t>
      </w:r>
      <w:r w:rsidR="00D81399" w:rsidRPr="00CD542C">
        <w:rPr>
          <w:rFonts w:ascii="Times New Roman" w:hAnsi="Times New Roman"/>
          <w:sz w:val="28"/>
          <w:szCs w:val="28"/>
        </w:rPr>
        <w:t xml:space="preserve"> los individuos tengan certeza sobre las conductas</w:t>
      </w:r>
      <w:r w:rsidR="00AC22E0" w:rsidRPr="00CD542C">
        <w:rPr>
          <w:rFonts w:ascii="Times New Roman" w:hAnsi="Times New Roman"/>
          <w:sz w:val="28"/>
          <w:szCs w:val="28"/>
        </w:rPr>
        <w:t xml:space="preserve"> sancionadas</w:t>
      </w:r>
      <w:r w:rsidR="00616546" w:rsidRPr="00CD542C">
        <w:rPr>
          <w:rFonts w:ascii="Times New Roman" w:hAnsi="Times New Roman"/>
          <w:sz w:val="28"/>
          <w:szCs w:val="28"/>
        </w:rPr>
        <w:t xml:space="preserve">. </w:t>
      </w:r>
    </w:p>
    <w:p w:rsidR="00FE2B02" w:rsidRPr="00CD542C" w:rsidRDefault="00FE2B02" w:rsidP="00CD542C">
      <w:pPr>
        <w:spacing w:after="0" w:line="240" w:lineRule="auto"/>
        <w:jc w:val="both"/>
        <w:rPr>
          <w:rFonts w:ascii="Times New Roman" w:hAnsi="Times New Roman"/>
          <w:sz w:val="28"/>
          <w:szCs w:val="28"/>
        </w:rPr>
      </w:pPr>
    </w:p>
    <w:p w:rsidR="002F156B" w:rsidRPr="00CD542C" w:rsidRDefault="00D175A2" w:rsidP="00CD542C">
      <w:pPr>
        <w:spacing w:after="0" w:line="240" w:lineRule="auto"/>
        <w:jc w:val="both"/>
        <w:rPr>
          <w:rFonts w:ascii="Times New Roman" w:hAnsi="Times New Roman"/>
          <w:sz w:val="28"/>
          <w:szCs w:val="28"/>
        </w:rPr>
      </w:pPr>
      <w:r w:rsidRPr="00CD542C">
        <w:rPr>
          <w:rFonts w:ascii="Times New Roman" w:hAnsi="Times New Roman"/>
          <w:sz w:val="28"/>
          <w:szCs w:val="28"/>
        </w:rPr>
        <w:t>Por lo tanto,</w:t>
      </w:r>
      <w:r w:rsidR="00DF52CF" w:rsidRPr="00CD542C">
        <w:rPr>
          <w:rFonts w:ascii="Times New Roman" w:hAnsi="Times New Roman"/>
          <w:sz w:val="28"/>
          <w:szCs w:val="28"/>
        </w:rPr>
        <w:t xml:space="preserve"> el principio de tipicidad hace parte del </w:t>
      </w:r>
      <w:r w:rsidR="002F156B" w:rsidRPr="00CD542C">
        <w:rPr>
          <w:rFonts w:ascii="Times New Roman" w:hAnsi="Times New Roman"/>
          <w:sz w:val="28"/>
          <w:szCs w:val="28"/>
        </w:rPr>
        <w:t xml:space="preserve">principio de legalidad </w:t>
      </w:r>
      <w:r w:rsidR="00D81399" w:rsidRPr="00CD542C">
        <w:rPr>
          <w:rFonts w:ascii="Times New Roman" w:hAnsi="Times New Roman"/>
          <w:sz w:val="28"/>
          <w:szCs w:val="28"/>
        </w:rPr>
        <w:t xml:space="preserve">que a su vez </w:t>
      </w:r>
      <w:r w:rsidR="002F156B" w:rsidRPr="00CD542C">
        <w:rPr>
          <w:rFonts w:ascii="Times New Roman" w:hAnsi="Times New Roman"/>
          <w:sz w:val="28"/>
          <w:szCs w:val="28"/>
        </w:rPr>
        <w:t>se encuentra inescindiblemente ligado al derecho al debido proceso</w:t>
      </w:r>
      <w:r w:rsidR="00D81399" w:rsidRPr="00CD542C">
        <w:rPr>
          <w:rFonts w:ascii="Times New Roman" w:hAnsi="Times New Roman"/>
          <w:sz w:val="28"/>
          <w:szCs w:val="28"/>
        </w:rPr>
        <w:t xml:space="preserve"> en una relación amplia y dinámica</w:t>
      </w:r>
      <w:r w:rsidR="002F156B" w:rsidRPr="00CD542C">
        <w:rPr>
          <w:rFonts w:ascii="Times New Roman" w:hAnsi="Times New Roman"/>
          <w:sz w:val="28"/>
          <w:szCs w:val="28"/>
        </w:rPr>
        <w:t xml:space="preserve">. En este punto cabe reiterar lo </w:t>
      </w:r>
      <w:r w:rsidR="00316403" w:rsidRPr="00CD542C">
        <w:rPr>
          <w:rFonts w:ascii="Times New Roman" w:hAnsi="Times New Roman"/>
          <w:sz w:val="28"/>
          <w:szCs w:val="28"/>
        </w:rPr>
        <w:t xml:space="preserve">dicho </w:t>
      </w:r>
      <w:r w:rsidR="002F156B" w:rsidRPr="00CD542C">
        <w:rPr>
          <w:rFonts w:ascii="Times New Roman" w:hAnsi="Times New Roman"/>
          <w:sz w:val="28"/>
          <w:szCs w:val="28"/>
        </w:rPr>
        <w:t xml:space="preserve">en la </w:t>
      </w:r>
      <w:r w:rsidR="002F156B" w:rsidRPr="00CD542C">
        <w:rPr>
          <w:rFonts w:ascii="Times New Roman" w:hAnsi="Times New Roman"/>
          <w:b/>
          <w:bCs/>
          <w:sz w:val="28"/>
          <w:szCs w:val="28"/>
        </w:rPr>
        <w:t>sentencia C-181 de 2016</w:t>
      </w:r>
      <w:r w:rsidR="00CD4680" w:rsidRPr="00CD542C">
        <w:rPr>
          <w:rStyle w:val="Refdenotaalpie"/>
          <w:rFonts w:ascii="Times New Roman" w:hAnsi="Times New Roman"/>
          <w:b/>
          <w:bCs/>
          <w:sz w:val="28"/>
          <w:szCs w:val="28"/>
        </w:rPr>
        <w:footnoteReference w:id="29"/>
      </w:r>
      <w:r w:rsidR="00AB035C" w:rsidRPr="00CD542C">
        <w:rPr>
          <w:rFonts w:ascii="Times New Roman" w:hAnsi="Times New Roman"/>
          <w:b/>
          <w:bCs/>
          <w:sz w:val="28"/>
          <w:szCs w:val="28"/>
        </w:rPr>
        <w:t xml:space="preserve"> </w:t>
      </w:r>
      <w:r w:rsidR="00AB035C" w:rsidRPr="00CD542C">
        <w:rPr>
          <w:rFonts w:ascii="Times New Roman" w:hAnsi="Times New Roman"/>
          <w:bCs/>
          <w:sz w:val="28"/>
          <w:szCs w:val="28"/>
        </w:rPr>
        <w:t>al respecto</w:t>
      </w:r>
      <w:r w:rsidR="00566475" w:rsidRPr="00CD542C">
        <w:rPr>
          <w:rFonts w:ascii="Times New Roman" w:hAnsi="Times New Roman"/>
          <w:sz w:val="28"/>
          <w:szCs w:val="28"/>
        </w:rPr>
        <w:t>.</w:t>
      </w:r>
    </w:p>
    <w:p w:rsidR="002F156B" w:rsidRPr="00CD542C" w:rsidRDefault="002F156B" w:rsidP="00CD542C">
      <w:pPr>
        <w:spacing w:after="0" w:line="240" w:lineRule="auto"/>
        <w:jc w:val="both"/>
        <w:rPr>
          <w:rFonts w:ascii="Times New Roman" w:hAnsi="Times New Roman"/>
          <w:sz w:val="28"/>
          <w:szCs w:val="28"/>
        </w:rPr>
      </w:pPr>
    </w:p>
    <w:p w:rsidR="00CD4680" w:rsidRPr="00CD542C" w:rsidRDefault="00CD4680" w:rsidP="00CD542C">
      <w:pPr>
        <w:spacing w:after="0" w:line="240" w:lineRule="auto"/>
        <w:jc w:val="both"/>
        <w:rPr>
          <w:rFonts w:ascii="Times New Roman" w:hAnsi="Times New Roman"/>
          <w:b/>
          <w:sz w:val="28"/>
          <w:szCs w:val="28"/>
        </w:rPr>
      </w:pPr>
      <w:r w:rsidRPr="00CD542C">
        <w:rPr>
          <w:rFonts w:ascii="Times New Roman" w:hAnsi="Times New Roman"/>
          <w:b/>
          <w:sz w:val="28"/>
          <w:szCs w:val="28"/>
        </w:rPr>
        <w:t xml:space="preserve">El principio de legalidad </w:t>
      </w:r>
    </w:p>
    <w:p w:rsidR="00566475" w:rsidRPr="00CD542C" w:rsidRDefault="00566475" w:rsidP="00CD542C">
      <w:pPr>
        <w:pStyle w:val="Prrafodelista"/>
        <w:ind w:left="0"/>
        <w:contextualSpacing w:val="0"/>
        <w:jc w:val="both"/>
        <w:rPr>
          <w:sz w:val="28"/>
          <w:szCs w:val="28"/>
        </w:rPr>
      </w:pPr>
    </w:p>
    <w:p w:rsidR="00566475" w:rsidRPr="00CD542C" w:rsidRDefault="00C11A71" w:rsidP="00CD542C">
      <w:pPr>
        <w:spacing w:after="0" w:line="240" w:lineRule="auto"/>
        <w:jc w:val="both"/>
        <w:rPr>
          <w:rFonts w:ascii="Times New Roman" w:hAnsi="Times New Roman"/>
          <w:sz w:val="28"/>
          <w:szCs w:val="28"/>
        </w:rPr>
      </w:pPr>
      <w:r w:rsidRPr="00CD542C">
        <w:rPr>
          <w:rFonts w:ascii="Times New Roman" w:hAnsi="Times New Roman"/>
          <w:sz w:val="28"/>
          <w:szCs w:val="28"/>
        </w:rPr>
        <w:t>17</w:t>
      </w:r>
      <w:r w:rsidR="00566475" w:rsidRPr="00CD542C">
        <w:rPr>
          <w:rFonts w:ascii="Times New Roman" w:hAnsi="Times New Roman"/>
          <w:sz w:val="28"/>
          <w:szCs w:val="28"/>
        </w:rPr>
        <w:t xml:space="preserve">. </w:t>
      </w:r>
      <w:r w:rsidR="00EE60D7" w:rsidRPr="00CD542C">
        <w:rPr>
          <w:rFonts w:ascii="Times New Roman" w:hAnsi="Times New Roman"/>
          <w:sz w:val="28"/>
          <w:szCs w:val="28"/>
        </w:rPr>
        <w:t>E</w:t>
      </w:r>
      <w:r w:rsidR="00566475" w:rsidRPr="00CD542C">
        <w:rPr>
          <w:rFonts w:ascii="Times New Roman" w:hAnsi="Times New Roman"/>
          <w:sz w:val="28"/>
          <w:szCs w:val="28"/>
        </w:rPr>
        <w:t>l artículo 29 de la Constitución establece que “</w:t>
      </w:r>
      <w:r w:rsidR="00566475" w:rsidRPr="00CD542C">
        <w:rPr>
          <w:rFonts w:ascii="Times New Roman" w:hAnsi="Times New Roman"/>
          <w:i/>
          <w:sz w:val="28"/>
          <w:szCs w:val="28"/>
        </w:rPr>
        <w:t>nadie podrá ser juzgado sino conforme a las leyes preexistentes al acto que se le imputa, ante juez o tribunal competente y con observancia de la plenitud de las formas propias de cada juicio</w:t>
      </w:r>
      <w:r w:rsidR="00566475" w:rsidRPr="00CD542C">
        <w:rPr>
          <w:rFonts w:ascii="Times New Roman" w:hAnsi="Times New Roman"/>
          <w:sz w:val="28"/>
          <w:szCs w:val="28"/>
        </w:rPr>
        <w:t xml:space="preserve">”. </w:t>
      </w:r>
      <w:r w:rsidR="007215E0" w:rsidRPr="00CD542C">
        <w:rPr>
          <w:rFonts w:ascii="Times New Roman" w:hAnsi="Times New Roman"/>
          <w:sz w:val="28"/>
          <w:szCs w:val="28"/>
        </w:rPr>
        <w:t xml:space="preserve">Así, el derecho al debido proceso en el ámbito </w:t>
      </w:r>
      <w:r w:rsidR="00D175A2" w:rsidRPr="00CD542C">
        <w:rPr>
          <w:rFonts w:ascii="Times New Roman" w:hAnsi="Times New Roman"/>
          <w:sz w:val="28"/>
          <w:szCs w:val="28"/>
        </w:rPr>
        <w:t xml:space="preserve">de configuración </w:t>
      </w:r>
      <w:r w:rsidR="00D175A2" w:rsidRPr="00CD542C">
        <w:rPr>
          <w:rFonts w:ascii="Times New Roman" w:hAnsi="Times New Roman"/>
          <w:sz w:val="28"/>
          <w:szCs w:val="28"/>
        </w:rPr>
        <w:lastRenderedPageBreak/>
        <w:t>penal le exige</w:t>
      </w:r>
      <w:r w:rsidR="00566475" w:rsidRPr="00CD542C">
        <w:rPr>
          <w:rFonts w:ascii="Times New Roman" w:hAnsi="Times New Roman"/>
          <w:sz w:val="28"/>
          <w:szCs w:val="28"/>
        </w:rPr>
        <w:t xml:space="preserve"> al Legislador: i) definir de manera clara, concreta e inequívoca las conductas reprobadas; ii) señalar anticipadamente las respectivas sanciones; iii) definir las autoridades competentes; y, iv) establecer las reglas sustantivas y procesales aplicables, todo lo anterior con la finalidad de garantizar un debido proceso</w:t>
      </w:r>
      <w:r w:rsidR="00566475" w:rsidRPr="00CD542C">
        <w:rPr>
          <w:rStyle w:val="Refdenotaalpie"/>
          <w:rFonts w:ascii="Times New Roman" w:hAnsi="Times New Roman"/>
          <w:sz w:val="28"/>
          <w:szCs w:val="28"/>
        </w:rPr>
        <w:footnoteReference w:id="30"/>
      </w:r>
      <w:r w:rsidR="00566475" w:rsidRPr="00CD542C">
        <w:rPr>
          <w:rFonts w:ascii="Times New Roman" w:hAnsi="Times New Roman"/>
          <w:sz w:val="28"/>
          <w:szCs w:val="28"/>
        </w:rPr>
        <w:t>.</w:t>
      </w:r>
    </w:p>
    <w:p w:rsidR="00566475" w:rsidRPr="00CD542C" w:rsidRDefault="00566475" w:rsidP="00CD542C">
      <w:pPr>
        <w:pStyle w:val="Prrafodelista"/>
        <w:ind w:left="0"/>
        <w:contextualSpacing w:val="0"/>
        <w:jc w:val="both"/>
        <w:rPr>
          <w:sz w:val="28"/>
          <w:szCs w:val="28"/>
        </w:rPr>
      </w:pPr>
    </w:p>
    <w:p w:rsidR="00566475" w:rsidRPr="00CD542C" w:rsidRDefault="007215E0" w:rsidP="00CD542C">
      <w:pPr>
        <w:spacing w:after="0" w:line="240" w:lineRule="auto"/>
        <w:jc w:val="both"/>
        <w:rPr>
          <w:rFonts w:ascii="Times New Roman" w:hAnsi="Times New Roman"/>
          <w:iCs/>
          <w:sz w:val="28"/>
          <w:szCs w:val="28"/>
          <w:shd w:val="clear" w:color="auto" w:fill="FFFFFF"/>
          <w:lang w:val="es-CO" w:eastAsia="es-ES"/>
        </w:rPr>
      </w:pPr>
      <w:r w:rsidRPr="00CD542C">
        <w:rPr>
          <w:rFonts w:ascii="Times New Roman" w:hAnsi="Times New Roman"/>
          <w:sz w:val="28"/>
          <w:szCs w:val="28"/>
        </w:rPr>
        <w:t>En este sentido, el</w:t>
      </w:r>
      <w:r w:rsidR="00566475" w:rsidRPr="00CD542C">
        <w:rPr>
          <w:rFonts w:ascii="Times New Roman" w:hAnsi="Times New Roman"/>
          <w:sz w:val="28"/>
          <w:szCs w:val="28"/>
        </w:rPr>
        <w:t xml:space="preserve"> principio de legalid</w:t>
      </w:r>
      <w:r w:rsidR="00CD4680" w:rsidRPr="00CD542C">
        <w:rPr>
          <w:rFonts w:ascii="Times New Roman" w:hAnsi="Times New Roman"/>
          <w:sz w:val="28"/>
          <w:szCs w:val="28"/>
        </w:rPr>
        <w:t>ad que rige el derecho penal</w:t>
      </w:r>
      <w:r w:rsidRPr="00CD542C">
        <w:rPr>
          <w:rFonts w:ascii="Times New Roman" w:hAnsi="Times New Roman"/>
          <w:sz w:val="28"/>
          <w:szCs w:val="28"/>
        </w:rPr>
        <w:t xml:space="preserve"> desarrolla el derecho al debido proceso y</w:t>
      </w:r>
      <w:r w:rsidR="00CD4680" w:rsidRPr="00CD542C">
        <w:rPr>
          <w:rFonts w:ascii="Times New Roman" w:hAnsi="Times New Roman"/>
          <w:sz w:val="28"/>
          <w:szCs w:val="28"/>
        </w:rPr>
        <w:t xml:space="preserve"> </w:t>
      </w:r>
      <w:r w:rsidR="002849E2" w:rsidRPr="00CD542C">
        <w:rPr>
          <w:rFonts w:ascii="Times New Roman" w:hAnsi="Times New Roman"/>
          <w:sz w:val="28"/>
          <w:szCs w:val="28"/>
        </w:rPr>
        <w:t xml:space="preserve">establece que: i) no puede </w:t>
      </w:r>
      <w:r w:rsidR="00566475" w:rsidRPr="00CD542C">
        <w:rPr>
          <w:rFonts w:ascii="Times New Roman" w:hAnsi="Times New Roman"/>
          <w:iCs/>
          <w:sz w:val="28"/>
          <w:szCs w:val="28"/>
          <w:shd w:val="clear" w:color="auto" w:fill="FFFFFF"/>
          <w:lang w:val="es-CO" w:eastAsia="es-ES"/>
        </w:rPr>
        <w:t>considerarse delito el hecho que no ha sido expresa y previament</w:t>
      </w:r>
      <w:r w:rsidR="002849E2" w:rsidRPr="00CD542C">
        <w:rPr>
          <w:rFonts w:ascii="Times New Roman" w:hAnsi="Times New Roman"/>
          <w:iCs/>
          <w:sz w:val="28"/>
          <w:szCs w:val="28"/>
          <w:shd w:val="clear" w:color="auto" w:fill="FFFFFF"/>
          <w:lang w:val="es-CO" w:eastAsia="es-ES"/>
        </w:rPr>
        <w:t xml:space="preserve">e declarado como tal por la ley; ii) </w:t>
      </w:r>
      <w:r w:rsidR="00566475" w:rsidRPr="00CD542C">
        <w:rPr>
          <w:rFonts w:ascii="Times New Roman" w:hAnsi="Times New Roman"/>
          <w:iCs/>
          <w:sz w:val="28"/>
          <w:szCs w:val="28"/>
          <w:shd w:val="clear" w:color="auto" w:fill="FFFFFF"/>
          <w:lang w:val="es-CO" w:eastAsia="es-ES"/>
        </w:rPr>
        <w:t xml:space="preserve"> no puede aplicarse p</w:t>
      </w:r>
      <w:r w:rsidR="007A2852" w:rsidRPr="00CD542C">
        <w:rPr>
          <w:rFonts w:ascii="Times New Roman" w:hAnsi="Times New Roman"/>
          <w:iCs/>
          <w:sz w:val="28"/>
          <w:szCs w:val="28"/>
          <w:shd w:val="clear" w:color="auto" w:fill="FFFFFF"/>
          <w:lang w:val="es-CO" w:eastAsia="es-ES"/>
        </w:rPr>
        <w:t>ena alguna que no esté determinada</w:t>
      </w:r>
      <w:r w:rsidR="00566475" w:rsidRPr="00CD542C">
        <w:rPr>
          <w:rFonts w:ascii="Times New Roman" w:hAnsi="Times New Roman"/>
          <w:iCs/>
          <w:sz w:val="28"/>
          <w:szCs w:val="28"/>
          <w:shd w:val="clear" w:color="auto" w:fill="FFFFFF"/>
          <w:lang w:val="es-CO" w:eastAsia="es-ES"/>
        </w:rPr>
        <w:t xml:space="preserve"> por la ley anterior e indicada en ella;</w:t>
      </w:r>
      <w:r w:rsidR="002849E2" w:rsidRPr="00CD542C">
        <w:rPr>
          <w:rFonts w:ascii="Times New Roman" w:hAnsi="Times New Roman"/>
          <w:iCs/>
          <w:sz w:val="28"/>
          <w:szCs w:val="28"/>
          <w:shd w:val="clear" w:color="auto" w:fill="FFFFFF"/>
          <w:lang w:val="es-CO" w:eastAsia="es-ES"/>
        </w:rPr>
        <w:t xml:space="preserve"> iii)</w:t>
      </w:r>
      <w:r w:rsidR="00566475" w:rsidRPr="00CD542C">
        <w:rPr>
          <w:rFonts w:ascii="Times New Roman" w:hAnsi="Times New Roman"/>
          <w:iCs/>
          <w:sz w:val="28"/>
          <w:szCs w:val="28"/>
          <w:shd w:val="clear" w:color="auto" w:fill="FFFFFF"/>
          <w:lang w:val="es-CO" w:eastAsia="es-ES"/>
        </w:rPr>
        <w:t>  la</w:t>
      </w:r>
      <w:r w:rsidR="007B0352" w:rsidRPr="00CD542C">
        <w:rPr>
          <w:rFonts w:ascii="Times New Roman" w:hAnsi="Times New Roman"/>
          <w:iCs/>
          <w:sz w:val="28"/>
          <w:szCs w:val="28"/>
          <w:shd w:val="clear" w:color="auto" w:fill="FFFFFF"/>
          <w:lang w:val="es-CO" w:eastAsia="es-ES"/>
        </w:rPr>
        <w:t xml:space="preserve"> ley penal sólo puede aplicarse</w:t>
      </w:r>
      <w:r w:rsidR="00566475" w:rsidRPr="00CD542C">
        <w:rPr>
          <w:rFonts w:ascii="Times New Roman" w:hAnsi="Times New Roman"/>
          <w:iCs/>
          <w:sz w:val="28"/>
          <w:szCs w:val="28"/>
          <w:shd w:val="clear" w:color="auto" w:fill="FFFFFF"/>
          <w:lang w:val="es-CO" w:eastAsia="es-ES"/>
        </w:rPr>
        <w:t xml:space="preserve"> por los órganos y jueces instituidos por la ley para esa función</w:t>
      </w:r>
      <w:r w:rsidR="002849E2" w:rsidRPr="00CD542C">
        <w:rPr>
          <w:rFonts w:ascii="Times New Roman" w:hAnsi="Times New Roman"/>
          <w:iCs/>
          <w:sz w:val="28"/>
          <w:szCs w:val="28"/>
          <w:shd w:val="clear" w:color="auto" w:fill="FFFFFF"/>
          <w:lang w:val="es-CO" w:eastAsia="es-ES"/>
        </w:rPr>
        <w:t xml:space="preserve"> y iv)</w:t>
      </w:r>
      <w:r w:rsidR="00566475" w:rsidRPr="00CD542C">
        <w:rPr>
          <w:rFonts w:ascii="Times New Roman" w:hAnsi="Times New Roman"/>
          <w:iCs/>
          <w:sz w:val="28"/>
          <w:szCs w:val="28"/>
          <w:shd w:val="clear" w:color="auto" w:fill="FFFFFF"/>
          <w:lang w:val="es-CO" w:eastAsia="es-ES"/>
        </w:rPr>
        <w:t>; nadie puede ser castigado sino en virtud de</w:t>
      </w:r>
      <w:r w:rsidR="006435E6" w:rsidRPr="00CD542C">
        <w:rPr>
          <w:rFonts w:ascii="Times New Roman" w:hAnsi="Times New Roman"/>
          <w:iCs/>
          <w:sz w:val="28"/>
          <w:szCs w:val="28"/>
          <w:shd w:val="clear" w:color="auto" w:fill="FFFFFF"/>
          <w:lang w:val="es-CO" w:eastAsia="es-ES"/>
        </w:rPr>
        <w:t xml:space="preserve"> un</w:t>
      </w:r>
      <w:r w:rsidR="00566475" w:rsidRPr="00CD542C">
        <w:rPr>
          <w:rFonts w:ascii="Times New Roman" w:hAnsi="Times New Roman"/>
          <w:iCs/>
          <w:sz w:val="28"/>
          <w:szCs w:val="28"/>
          <w:shd w:val="clear" w:color="auto" w:fill="FFFFFF"/>
          <w:lang w:val="es-CO" w:eastAsia="es-ES"/>
        </w:rPr>
        <w:t xml:space="preserve"> juicio legal</w:t>
      </w:r>
      <w:r w:rsidR="007A2852" w:rsidRPr="00CD542C">
        <w:rPr>
          <w:rFonts w:ascii="Times New Roman" w:hAnsi="Times New Roman"/>
          <w:iCs/>
          <w:sz w:val="28"/>
          <w:szCs w:val="28"/>
          <w:shd w:val="clear" w:color="auto" w:fill="FFFFFF"/>
          <w:lang w:val="es-CO" w:eastAsia="es-ES"/>
        </w:rPr>
        <w:t xml:space="preserve"> con respeto de las formas propias de cada juicio</w:t>
      </w:r>
      <w:r w:rsidR="007A2852" w:rsidRPr="00CD542C">
        <w:rPr>
          <w:rStyle w:val="Refdenotaalpie"/>
          <w:rFonts w:ascii="Times New Roman" w:hAnsi="Times New Roman"/>
          <w:iCs/>
          <w:sz w:val="28"/>
          <w:szCs w:val="28"/>
          <w:shd w:val="clear" w:color="auto" w:fill="FFFFFF"/>
          <w:lang w:val="es-CO" w:eastAsia="es-ES"/>
        </w:rPr>
        <w:footnoteReference w:id="31"/>
      </w:r>
      <w:r w:rsidR="00566475" w:rsidRPr="00CD542C">
        <w:rPr>
          <w:rFonts w:ascii="Times New Roman" w:hAnsi="Times New Roman"/>
          <w:iCs/>
          <w:sz w:val="28"/>
          <w:szCs w:val="28"/>
          <w:shd w:val="clear" w:color="auto" w:fill="FFFFFF"/>
          <w:lang w:val="es-CO" w:eastAsia="es-ES"/>
        </w:rPr>
        <w:t>.</w:t>
      </w:r>
    </w:p>
    <w:p w:rsidR="00566475" w:rsidRPr="00CD542C" w:rsidRDefault="00566475" w:rsidP="00CD542C">
      <w:pPr>
        <w:spacing w:after="0" w:line="240" w:lineRule="auto"/>
        <w:jc w:val="both"/>
        <w:rPr>
          <w:rFonts w:ascii="Times New Roman" w:hAnsi="Times New Roman"/>
          <w:sz w:val="28"/>
          <w:szCs w:val="28"/>
        </w:rPr>
      </w:pPr>
    </w:p>
    <w:p w:rsidR="00566475" w:rsidRPr="00CD542C" w:rsidRDefault="00566475" w:rsidP="00CD542C">
      <w:pPr>
        <w:widowControl w:val="0"/>
        <w:tabs>
          <w:tab w:val="left" w:pos="0"/>
        </w:tabs>
        <w:autoSpaceDE w:val="0"/>
        <w:autoSpaceDN w:val="0"/>
        <w:adjustRightInd w:val="0"/>
        <w:spacing w:after="0" w:line="240" w:lineRule="auto"/>
        <w:jc w:val="both"/>
        <w:rPr>
          <w:rFonts w:ascii="Times New Roman" w:hAnsi="Times New Roman"/>
          <w:sz w:val="28"/>
          <w:szCs w:val="28"/>
        </w:rPr>
      </w:pPr>
      <w:r w:rsidRPr="00CD542C">
        <w:rPr>
          <w:rFonts w:ascii="Times New Roman" w:hAnsi="Times New Roman"/>
          <w:sz w:val="28"/>
          <w:szCs w:val="28"/>
        </w:rPr>
        <w:t xml:space="preserve">Conforme a lo anterior, la Corte en </w:t>
      </w:r>
      <w:r w:rsidR="00CD4680" w:rsidRPr="00CD542C">
        <w:rPr>
          <w:rFonts w:ascii="Times New Roman" w:hAnsi="Times New Roman"/>
          <w:sz w:val="28"/>
          <w:szCs w:val="28"/>
        </w:rPr>
        <w:t xml:space="preserve">la </w:t>
      </w:r>
      <w:r w:rsidRPr="00CD542C">
        <w:rPr>
          <w:rFonts w:ascii="Times New Roman" w:hAnsi="Times New Roman"/>
          <w:b/>
          <w:sz w:val="28"/>
          <w:szCs w:val="28"/>
        </w:rPr>
        <w:t>sentencia C-653 de 2001</w:t>
      </w:r>
      <w:r w:rsidRPr="00CD542C">
        <w:rPr>
          <w:rStyle w:val="Refdenotaalpie"/>
          <w:rFonts w:ascii="Times New Roman" w:hAnsi="Times New Roman"/>
          <w:sz w:val="28"/>
          <w:szCs w:val="28"/>
        </w:rPr>
        <w:footnoteReference w:id="32"/>
      </w:r>
      <w:r w:rsidRPr="00CD542C">
        <w:rPr>
          <w:rFonts w:ascii="Times New Roman" w:hAnsi="Times New Roman"/>
          <w:b/>
          <w:sz w:val="28"/>
          <w:szCs w:val="28"/>
        </w:rPr>
        <w:t xml:space="preserve"> </w:t>
      </w:r>
      <w:r w:rsidRPr="00CD542C">
        <w:rPr>
          <w:rFonts w:ascii="Times New Roman" w:hAnsi="Times New Roman"/>
          <w:sz w:val="28"/>
          <w:szCs w:val="28"/>
        </w:rPr>
        <w:t>expresó que el ejercicio legítimo del poder punitivo del Estado debe respetar en todo caso las garantías del derecho fundamental al debido proceso destinado a “</w:t>
      </w:r>
      <w:r w:rsidRPr="00CD542C">
        <w:rPr>
          <w:rFonts w:ascii="Times New Roman" w:hAnsi="Times New Roman"/>
          <w:i/>
          <w:sz w:val="28"/>
          <w:szCs w:val="28"/>
        </w:rPr>
        <w:t>(…) proteger la libertad individual, controlar la arbitrariedad judicial y asegurar la igualdad de todas las perso</w:t>
      </w:r>
      <w:r w:rsidR="00D175A2" w:rsidRPr="00CD542C">
        <w:rPr>
          <w:rFonts w:ascii="Times New Roman" w:hAnsi="Times New Roman"/>
          <w:i/>
          <w:sz w:val="28"/>
          <w:szCs w:val="28"/>
        </w:rPr>
        <w:t>nas ante el poder punitivo del E</w:t>
      </w:r>
      <w:r w:rsidRPr="00CD542C">
        <w:rPr>
          <w:rFonts w:ascii="Times New Roman" w:hAnsi="Times New Roman"/>
          <w:i/>
          <w:sz w:val="28"/>
          <w:szCs w:val="28"/>
        </w:rPr>
        <w:t>stado</w:t>
      </w:r>
      <w:r w:rsidRPr="00CD542C">
        <w:rPr>
          <w:rFonts w:ascii="Times New Roman" w:hAnsi="Times New Roman"/>
          <w:sz w:val="28"/>
          <w:szCs w:val="28"/>
        </w:rPr>
        <w:t>”.</w:t>
      </w:r>
    </w:p>
    <w:p w:rsidR="00566475" w:rsidRPr="00CD542C" w:rsidRDefault="00566475" w:rsidP="00CD542C">
      <w:pPr>
        <w:widowControl w:val="0"/>
        <w:tabs>
          <w:tab w:val="left" w:pos="0"/>
        </w:tabs>
        <w:autoSpaceDE w:val="0"/>
        <w:autoSpaceDN w:val="0"/>
        <w:adjustRightInd w:val="0"/>
        <w:spacing w:after="0" w:line="240" w:lineRule="auto"/>
        <w:jc w:val="both"/>
        <w:rPr>
          <w:rFonts w:ascii="Times New Roman" w:hAnsi="Times New Roman"/>
          <w:sz w:val="28"/>
          <w:szCs w:val="28"/>
        </w:rPr>
      </w:pPr>
    </w:p>
    <w:p w:rsidR="00566475" w:rsidRPr="00CD542C" w:rsidRDefault="00566475" w:rsidP="00CD542C">
      <w:pPr>
        <w:widowControl w:val="0"/>
        <w:tabs>
          <w:tab w:val="left" w:pos="0"/>
        </w:tabs>
        <w:autoSpaceDE w:val="0"/>
        <w:autoSpaceDN w:val="0"/>
        <w:adjustRightInd w:val="0"/>
        <w:spacing w:after="0" w:line="240" w:lineRule="auto"/>
        <w:jc w:val="both"/>
        <w:rPr>
          <w:rFonts w:ascii="Times New Roman" w:hAnsi="Times New Roman"/>
          <w:sz w:val="28"/>
          <w:szCs w:val="28"/>
        </w:rPr>
      </w:pPr>
      <w:r w:rsidRPr="00CD542C">
        <w:rPr>
          <w:rFonts w:ascii="Times New Roman" w:hAnsi="Times New Roman"/>
          <w:sz w:val="28"/>
          <w:szCs w:val="28"/>
        </w:rPr>
        <w:t>En ese orden de ideas, el principio de legalidad penal es una de las principales conquistas del Estado constitucional, al constituirse en una salvaguarda de la seguridad jurídica de los ciudadanos, pues les permite conocer previamente cuándo y por qué razón pueden ser objeto de penas ya sea privativas de la libertad o de otra índole, con lo que se pretende fijar reglas objetivas para impedir el abuso de poder de las autoridades penales del caso.</w:t>
      </w:r>
    </w:p>
    <w:p w:rsidR="00566475" w:rsidRPr="00CD542C" w:rsidRDefault="00566475" w:rsidP="00CD542C">
      <w:pPr>
        <w:widowControl w:val="0"/>
        <w:tabs>
          <w:tab w:val="left" w:pos="0"/>
        </w:tabs>
        <w:autoSpaceDE w:val="0"/>
        <w:autoSpaceDN w:val="0"/>
        <w:adjustRightInd w:val="0"/>
        <w:spacing w:after="0" w:line="240" w:lineRule="auto"/>
        <w:jc w:val="both"/>
        <w:rPr>
          <w:rFonts w:ascii="Times New Roman" w:hAnsi="Times New Roman"/>
          <w:sz w:val="28"/>
          <w:szCs w:val="28"/>
        </w:rPr>
      </w:pPr>
    </w:p>
    <w:p w:rsidR="00566475" w:rsidRPr="00CD542C" w:rsidRDefault="00C11A71" w:rsidP="00CD542C">
      <w:pPr>
        <w:widowControl w:val="0"/>
        <w:autoSpaceDE w:val="0"/>
        <w:autoSpaceDN w:val="0"/>
        <w:adjustRightInd w:val="0"/>
        <w:spacing w:after="0" w:line="240" w:lineRule="auto"/>
        <w:jc w:val="both"/>
        <w:rPr>
          <w:rFonts w:ascii="Times New Roman" w:hAnsi="Times New Roman"/>
          <w:sz w:val="28"/>
          <w:szCs w:val="28"/>
        </w:rPr>
      </w:pPr>
      <w:r w:rsidRPr="00CD542C">
        <w:rPr>
          <w:rFonts w:ascii="Times New Roman" w:hAnsi="Times New Roman"/>
          <w:sz w:val="28"/>
          <w:szCs w:val="28"/>
        </w:rPr>
        <w:t>18</w:t>
      </w:r>
      <w:r w:rsidR="00566475" w:rsidRPr="00CD542C">
        <w:rPr>
          <w:rFonts w:ascii="Times New Roman" w:hAnsi="Times New Roman"/>
          <w:sz w:val="28"/>
          <w:szCs w:val="28"/>
        </w:rPr>
        <w:t>. Este Tribunal ha identificado las diferentes dimensiones del principio de legalidad en materia penal, las cuales</w:t>
      </w:r>
      <w:r w:rsidR="00466E0C" w:rsidRPr="00CD542C">
        <w:rPr>
          <w:rFonts w:ascii="Times New Roman" w:hAnsi="Times New Roman"/>
          <w:sz w:val="28"/>
          <w:szCs w:val="28"/>
        </w:rPr>
        <w:t xml:space="preserve"> comprenden</w:t>
      </w:r>
      <w:r w:rsidR="00566475" w:rsidRPr="00CD542C">
        <w:rPr>
          <w:rFonts w:ascii="Times New Roman" w:hAnsi="Times New Roman"/>
          <w:sz w:val="28"/>
          <w:szCs w:val="28"/>
        </w:rPr>
        <w:t>: i) la reserva legal, pues la definición de las conductas punibles le corresponde al Legislador y no a los jueces ni a la administración ii) la prohibición de aplicar retroactivamente las normas penales, por lo que un hecho no puede considerarse delito ni ser objeto de sanción si no existe una ley previa que así lo establezca, salvo el principio de favorabilidad; iii) el principio de legalidad en sentido estricto denominado de tipicidad o taxatividad, exige que las conductas punibles no solo deben estar previamente establecidas por el Legislador, sino que deben estar inequívocamente definidas por la ley, por lo que la labor del juez se limita a la adecuación de la conducta reprochada a la descripción abst</w:t>
      </w:r>
      <w:r w:rsidR="00E33F22" w:rsidRPr="00CD542C">
        <w:rPr>
          <w:rFonts w:ascii="Times New Roman" w:hAnsi="Times New Roman"/>
          <w:sz w:val="28"/>
          <w:szCs w:val="28"/>
        </w:rPr>
        <w:t>racta realizada por la norma. Só</w:t>
      </w:r>
      <w:r w:rsidR="00566475" w:rsidRPr="00CD542C">
        <w:rPr>
          <w:rFonts w:ascii="Times New Roman" w:hAnsi="Times New Roman"/>
          <w:sz w:val="28"/>
          <w:szCs w:val="28"/>
        </w:rPr>
        <w:t>lo de esta manera se cumple con la función garantista y democrática, que se traduce en la protección de la libertad de las personas y el aseguramiento de la igualdad ante el ejercicio del poder punitivo por parte del Estado</w:t>
      </w:r>
      <w:r w:rsidR="00566475" w:rsidRPr="00CD542C">
        <w:rPr>
          <w:rStyle w:val="Refdenotaalpie"/>
          <w:rFonts w:ascii="Times New Roman" w:hAnsi="Times New Roman"/>
          <w:sz w:val="28"/>
          <w:szCs w:val="28"/>
        </w:rPr>
        <w:footnoteReference w:id="33"/>
      </w:r>
      <w:r w:rsidR="00566475" w:rsidRPr="00CD542C">
        <w:rPr>
          <w:rFonts w:ascii="Times New Roman" w:hAnsi="Times New Roman"/>
          <w:sz w:val="28"/>
          <w:szCs w:val="28"/>
        </w:rPr>
        <w:t>.</w:t>
      </w:r>
    </w:p>
    <w:p w:rsidR="00566475" w:rsidRPr="00CD542C" w:rsidRDefault="00566475" w:rsidP="00CD542C">
      <w:pPr>
        <w:widowControl w:val="0"/>
        <w:autoSpaceDE w:val="0"/>
        <w:autoSpaceDN w:val="0"/>
        <w:adjustRightInd w:val="0"/>
        <w:spacing w:after="0" w:line="240" w:lineRule="auto"/>
        <w:jc w:val="both"/>
        <w:rPr>
          <w:rFonts w:ascii="Times New Roman" w:hAnsi="Times New Roman"/>
          <w:sz w:val="28"/>
          <w:szCs w:val="28"/>
        </w:rPr>
      </w:pPr>
    </w:p>
    <w:p w:rsidR="00EE60D7" w:rsidRPr="00CD542C" w:rsidRDefault="00D175A2" w:rsidP="00CD542C">
      <w:pPr>
        <w:spacing w:after="0" w:line="240" w:lineRule="auto"/>
        <w:jc w:val="both"/>
        <w:rPr>
          <w:rFonts w:ascii="Times New Roman" w:hAnsi="Times New Roman"/>
          <w:sz w:val="28"/>
          <w:szCs w:val="28"/>
        </w:rPr>
      </w:pPr>
      <w:r w:rsidRPr="00CD542C">
        <w:rPr>
          <w:rFonts w:ascii="Times New Roman" w:hAnsi="Times New Roman"/>
          <w:sz w:val="28"/>
          <w:szCs w:val="28"/>
        </w:rPr>
        <w:lastRenderedPageBreak/>
        <w:t>Entonces</w:t>
      </w:r>
      <w:r w:rsidR="00EE60D7" w:rsidRPr="00CD542C">
        <w:rPr>
          <w:rFonts w:ascii="Times New Roman" w:hAnsi="Times New Roman"/>
          <w:sz w:val="28"/>
          <w:szCs w:val="28"/>
        </w:rPr>
        <w:t xml:space="preserve">, específicamente la tipicidad como principio se manifiesta en la “(…) </w:t>
      </w:r>
      <w:r w:rsidR="00EE60D7" w:rsidRPr="00CD542C">
        <w:rPr>
          <w:rFonts w:ascii="Times New Roman" w:hAnsi="Times New Roman"/>
          <w:i/>
          <w:iCs/>
          <w:sz w:val="28"/>
          <w:szCs w:val="28"/>
          <w:bdr w:val="none" w:sz="0" w:space="0" w:color="auto" w:frame="1"/>
          <w:shd w:val="clear" w:color="auto" w:fill="FFFFFF"/>
          <w:lang w:val="es-CO" w:eastAsia="es-ES"/>
        </w:rPr>
        <w:t>exigencia de descripción específica y precisa por la norma creadora de las infracciones y de las sanciones, de las conductas que pueden ser sancionadas y del contenido material de las sanciones que puede imponerse por la comisión de cada conducta, así como la correlación entre unas y otras</w:t>
      </w:r>
      <w:r w:rsidR="00EE60D7" w:rsidRPr="00CD542C">
        <w:rPr>
          <w:rFonts w:ascii="Times New Roman" w:hAnsi="Times New Roman"/>
          <w:iCs/>
          <w:sz w:val="28"/>
          <w:szCs w:val="28"/>
          <w:bdr w:val="none" w:sz="0" w:space="0" w:color="auto" w:frame="1"/>
          <w:shd w:val="clear" w:color="auto" w:fill="FFFFFF"/>
          <w:lang w:val="es-CO" w:eastAsia="es-ES"/>
        </w:rPr>
        <w:t>”</w:t>
      </w:r>
      <w:r w:rsidR="00EE60D7" w:rsidRPr="00CD542C">
        <w:rPr>
          <w:rStyle w:val="Refdenotaalpie"/>
          <w:rFonts w:ascii="Times New Roman" w:hAnsi="Times New Roman"/>
          <w:iCs/>
          <w:sz w:val="28"/>
          <w:szCs w:val="28"/>
          <w:bdr w:val="none" w:sz="0" w:space="0" w:color="auto" w:frame="1"/>
          <w:shd w:val="clear" w:color="auto" w:fill="FFFFFF"/>
          <w:lang w:val="es-CO" w:eastAsia="es-ES"/>
        </w:rPr>
        <w:footnoteReference w:id="34"/>
      </w:r>
      <w:r w:rsidR="00EE60D7" w:rsidRPr="00CD542C">
        <w:rPr>
          <w:rFonts w:ascii="Times New Roman" w:hAnsi="Times New Roman"/>
          <w:iCs/>
          <w:sz w:val="28"/>
          <w:szCs w:val="28"/>
          <w:bdr w:val="none" w:sz="0" w:space="0" w:color="auto" w:frame="1"/>
          <w:shd w:val="clear" w:color="auto" w:fill="FFFFFF"/>
          <w:lang w:val="es-CO" w:eastAsia="es-ES"/>
        </w:rPr>
        <w:t>. De esta forma, se garantiza que el juez respete la voluntad del Legislador</w:t>
      </w:r>
      <w:r w:rsidR="00D80CBC" w:rsidRPr="00CD542C">
        <w:rPr>
          <w:rFonts w:ascii="Times New Roman" w:hAnsi="Times New Roman"/>
          <w:iCs/>
          <w:sz w:val="28"/>
          <w:szCs w:val="28"/>
          <w:bdr w:val="none" w:sz="0" w:space="0" w:color="auto" w:frame="1"/>
          <w:shd w:val="clear" w:color="auto" w:fill="FFFFFF"/>
          <w:lang w:val="es-CO" w:eastAsia="es-ES"/>
        </w:rPr>
        <w:t xml:space="preserve"> y se protejan la seguridad jurí</w:t>
      </w:r>
      <w:r w:rsidR="00EE60D7" w:rsidRPr="00CD542C">
        <w:rPr>
          <w:rFonts w:ascii="Times New Roman" w:hAnsi="Times New Roman"/>
          <w:iCs/>
          <w:sz w:val="28"/>
          <w:szCs w:val="28"/>
          <w:bdr w:val="none" w:sz="0" w:space="0" w:color="auto" w:frame="1"/>
          <w:shd w:val="clear" w:color="auto" w:fill="FFFFFF"/>
          <w:lang w:val="es-CO" w:eastAsia="es-ES"/>
        </w:rPr>
        <w:t>dica y la separación de poderes.</w:t>
      </w:r>
    </w:p>
    <w:p w:rsidR="00EE60D7" w:rsidRPr="00CD542C" w:rsidRDefault="00EE60D7" w:rsidP="00CD542C">
      <w:pPr>
        <w:pStyle w:val="Prrafodelista"/>
        <w:ind w:left="0"/>
        <w:contextualSpacing w:val="0"/>
        <w:jc w:val="both"/>
        <w:rPr>
          <w:sz w:val="28"/>
          <w:szCs w:val="28"/>
        </w:rPr>
      </w:pPr>
    </w:p>
    <w:p w:rsidR="00EE60D7" w:rsidRPr="00CD542C" w:rsidRDefault="00D80CBC" w:rsidP="00CD542C">
      <w:pPr>
        <w:pStyle w:val="Prrafodelista"/>
        <w:ind w:left="0"/>
        <w:contextualSpacing w:val="0"/>
        <w:jc w:val="both"/>
        <w:rPr>
          <w:sz w:val="28"/>
          <w:szCs w:val="28"/>
        </w:rPr>
      </w:pPr>
      <w:r w:rsidRPr="00CD542C">
        <w:rPr>
          <w:sz w:val="28"/>
          <w:szCs w:val="28"/>
        </w:rPr>
        <w:t xml:space="preserve">Esta Corporación </w:t>
      </w:r>
      <w:r w:rsidR="00EE60D7" w:rsidRPr="00CD542C">
        <w:rPr>
          <w:sz w:val="28"/>
          <w:szCs w:val="28"/>
        </w:rPr>
        <w:t>ha desarrollado el contenido de dicho principio y ha identificado los siguientes elementos: i) la conducta sancionable debe estar descrita de manera específica y precisa, bien porque está determinada en el mismo cuerpo normativo o sea determinable a partir de la aplicación de otras normas jurídicas; ii) debe existir una sanción cuyo contenido material lo define la ley; y iii) la obligatoria correspondencia entre la conducta y la sanción</w:t>
      </w:r>
      <w:r w:rsidR="00EE60D7" w:rsidRPr="00CD542C">
        <w:rPr>
          <w:rStyle w:val="Refdenotaalpie"/>
          <w:sz w:val="28"/>
          <w:szCs w:val="28"/>
        </w:rPr>
        <w:footnoteReference w:id="35"/>
      </w:r>
      <w:r w:rsidR="00EE60D7" w:rsidRPr="00CD542C">
        <w:rPr>
          <w:sz w:val="28"/>
          <w:szCs w:val="28"/>
        </w:rPr>
        <w:t>.</w:t>
      </w:r>
    </w:p>
    <w:p w:rsidR="00EE60D7" w:rsidRPr="00CD542C" w:rsidRDefault="00EE60D7" w:rsidP="00CD542C">
      <w:pPr>
        <w:widowControl w:val="0"/>
        <w:autoSpaceDE w:val="0"/>
        <w:autoSpaceDN w:val="0"/>
        <w:adjustRightInd w:val="0"/>
        <w:spacing w:after="0" w:line="240" w:lineRule="auto"/>
        <w:jc w:val="both"/>
        <w:rPr>
          <w:rFonts w:ascii="Times New Roman" w:hAnsi="Times New Roman"/>
          <w:sz w:val="28"/>
          <w:szCs w:val="28"/>
        </w:rPr>
      </w:pPr>
    </w:p>
    <w:p w:rsidR="00566475" w:rsidRPr="00CD542C" w:rsidRDefault="00C11A71" w:rsidP="00CD542C">
      <w:pPr>
        <w:widowControl w:val="0"/>
        <w:autoSpaceDE w:val="0"/>
        <w:autoSpaceDN w:val="0"/>
        <w:adjustRightInd w:val="0"/>
        <w:spacing w:after="0" w:line="240" w:lineRule="auto"/>
        <w:jc w:val="both"/>
        <w:rPr>
          <w:rFonts w:ascii="Times New Roman" w:hAnsi="Times New Roman"/>
          <w:sz w:val="28"/>
          <w:szCs w:val="28"/>
        </w:rPr>
      </w:pPr>
      <w:r w:rsidRPr="00CD542C">
        <w:rPr>
          <w:rFonts w:ascii="Times New Roman" w:hAnsi="Times New Roman"/>
          <w:sz w:val="28"/>
          <w:szCs w:val="28"/>
        </w:rPr>
        <w:t>19</w:t>
      </w:r>
      <w:r w:rsidR="00566475" w:rsidRPr="00CD542C">
        <w:rPr>
          <w:rFonts w:ascii="Times New Roman" w:hAnsi="Times New Roman"/>
          <w:sz w:val="28"/>
          <w:szCs w:val="28"/>
        </w:rPr>
        <w:t xml:space="preserve">. En conclusión, la tipicidad es un principio constitucional que hace parte del núcleo esencial del principio de legalidad en materia penal. Dicho principio se expresa en la obligación que tiene el Legislador de establecer de manera clara, específica y precisa las normas que contienen conductas punibles y sus respectivas sanciones. </w:t>
      </w:r>
    </w:p>
    <w:p w:rsidR="00566475" w:rsidRPr="00CD542C" w:rsidRDefault="00566475" w:rsidP="00CD542C">
      <w:pPr>
        <w:pStyle w:val="Prrafodelista"/>
        <w:widowControl w:val="0"/>
        <w:autoSpaceDE w:val="0"/>
        <w:autoSpaceDN w:val="0"/>
        <w:adjustRightInd w:val="0"/>
        <w:ind w:left="0"/>
        <w:contextualSpacing w:val="0"/>
        <w:jc w:val="both"/>
        <w:rPr>
          <w:sz w:val="28"/>
          <w:szCs w:val="28"/>
          <w:lang w:eastAsia="en-US"/>
        </w:rPr>
      </w:pPr>
    </w:p>
    <w:p w:rsidR="00566475" w:rsidRPr="00CD542C" w:rsidRDefault="00566475" w:rsidP="00CD542C">
      <w:pPr>
        <w:pStyle w:val="Prrafodelista"/>
        <w:widowControl w:val="0"/>
        <w:autoSpaceDE w:val="0"/>
        <w:autoSpaceDN w:val="0"/>
        <w:adjustRightInd w:val="0"/>
        <w:ind w:left="0"/>
        <w:contextualSpacing w:val="0"/>
        <w:jc w:val="both"/>
        <w:rPr>
          <w:sz w:val="28"/>
          <w:szCs w:val="28"/>
          <w:lang w:eastAsia="en-US"/>
        </w:rPr>
      </w:pPr>
      <w:r w:rsidRPr="00CD542C">
        <w:rPr>
          <w:sz w:val="28"/>
          <w:szCs w:val="28"/>
          <w:lang w:eastAsia="en-US"/>
        </w:rPr>
        <w:t xml:space="preserve">Por su parte, el principio de legalidad materializa el derecho fundamental al debido proceso y garantiza la libertad individual y la igualdad de las personas ante la ley. Sus dimensiones encierran la reserva de ley, la irretroactividad de la ley penal salvo favorabilidad y la tipicidad o taxatividad, mediante las cuales evita la arbitrariedad o la intromisión indebida por parte de las autoridades penales que asumen el conocimiento y juzgamiento de las conductas típicas. </w:t>
      </w:r>
    </w:p>
    <w:p w:rsidR="00566475" w:rsidRPr="00CD542C" w:rsidRDefault="00566475" w:rsidP="00CD542C">
      <w:pPr>
        <w:spacing w:after="0" w:line="240" w:lineRule="auto"/>
        <w:jc w:val="both"/>
        <w:rPr>
          <w:rFonts w:ascii="Times New Roman" w:hAnsi="Times New Roman"/>
          <w:sz w:val="28"/>
          <w:szCs w:val="28"/>
        </w:rPr>
      </w:pPr>
    </w:p>
    <w:p w:rsidR="00566475" w:rsidRPr="00CD542C" w:rsidRDefault="00310F0E" w:rsidP="00CD542C">
      <w:pPr>
        <w:spacing w:after="0" w:line="240" w:lineRule="auto"/>
        <w:jc w:val="both"/>
        <w:rPr>
          <w:rFonts w:ascii="Times New Roman" w:hAnsi="Times New Roman"/>
          <w:b/>
          <w:sz w:val="28"/>
          <w:szCs w:val="28"/>
        </w:rPr>
      </w:pPr>
      <w:r w:rsidRPr="00CD542C">
        <w:rPr>
          <w:rFonts w:ascii="Times New Roman" w:hAnsi="Times New Roman"/>
          <w:sz w:val="28"/>
          <w:szCs w:val="28"/>
        </w:rPr>
        <w:t>Así pues, el estudio de la responsabilidad penal</w:t>
      </w:r>
      <w:r w:rsidR="00566475" w:rsidRPr="00CD542C">
        <w:rPr>
          <w:rFonts w:ascii="Times New Roman" w:hAnsi="Times New Roman"/>
          <w:sz w:val="28"/>
          <w:szCs w:val="28"/>
        </w:rPr>
        <w:t xml:space="preserve"> en nuestro ordenamiento jurídico, acogido por el Código Penal del año 2000, parte del concepto analítico tripartito del delito compuesto por la conducta: i) típica; ii) antijurídica; y, iii) culpable. Para establecer si se cumple con el principio de legalidad y de tipicidad en sentido estricto es preciso verificar que se cumpla con los elementos de la tipicidad que se pasan a reiterar también de la </w:t>
      </w:r>
      <w:r w:rsidR="00566475" w:rsidRPr="00CD542C">
        <w:rPr>
          <w:rFonts w:ascii="Times New Roman" w:hAnsi="Times New Roman"/>
          <w:b/>
          <w:sz w:val="28"/>
          <w:szCs w:val="28"/>
        </w:rPr>
        <w:t>sentencia C-181 de 2016</w:t>
      </w:r>
      <w:r w:rsidR="00D80CBC" w:rsidRPr="00CD542C">
        <w:rPr>
          <w:rStyle w:val="Refdenotaalpie"/>
          <w:rFonts w:ascii="Times New Roman" w:hAnsi="Times New Roman"/>
          <w:b/>
          <w:sz w:val="28"/>
          <w:szCs w:val="28"/>
        </w:rPr>
        <w:footnoteReference w:id="36"/>
      </w:r>
      <w:r w:rsidR="00566475" w:rsidRPr="00CD542C">
        <w:rPr>
          <w:rFonts w:ascii="Times New Roman" w:hAnsi="Times New Roman"/>
          <w:b/>
          <w:sz w:val="28"/>
          <w:szCs w:val="28"/>
        </w:rPr>
        <w:t>.</w:t>
      </w:r>
    </w:p>
    <w:p w:rsidR="00566475" w:rsidRPr="00CD542C" w:rsidRDefault="00566475" w:rsidP="00CD542C">
      <w:pPr>
        <w:spacing w:after="0" w:line="240" w:lineRule="auto"/>
        <w:jc w:val="both"/>
        <w:rPr>
          <w:rFonts w:ascii="Times New Roman" w:hAnsi="Times New Roman"/>
          <w:sz w:val="28"/>
          <w:szCs w:val="28"/>
        </w:rPr>
      </w:pPr>
    </w:p>
    <w:p w:rsidR="002F156B" w:rsidRPr="00CD542C" w:rsidRDefault="00566475" w:rsidP="00CD542C">
      <w:pPr>
        <w:spacing w:after="0" w:line="240" w:lineRule="auto"/>
        <w:jc w:val="both"/>
        <w:rPr>
          <w:rFonts w:ascii="Times New Roman" w:hAnsi="Times New Roman"/>
          <w:b/>
          <w:bCs/>
          <w:sz w:val="28"/>
          <w:szCs w:val="28"/>
        </w:rPr>
      </w:pPr>
      <w:r w:rsidRPr="00CD542C">
        <w:rPr>
          <w:rFonts w:ascii="Times New Roman" w:hAnsi="Times New Roman"/>
          <w:b/>
          <w:bCs/>
          <w:sz w:val="28"/>
          <w:szCs w:val="28"/>
        </w:rPr>
        <w:t>L</w:t>
      </w:r>
      <w:r w:rsidR="00233FE4" w:rsidRPr="00CD542C">
        <w:rPr>
          <w:rFonts w:ascii="Times New Roman" w:hAnsi="Times New Roman"/>
          <w:b/>
          <w:bCs/>
          <w:sz w:val="28"/>
          <w:szCs w:val="28"/>
        </w:rPr>
        <w:t>a tipicidad</w:t>
      </w:r>
      <w:r w:rsidR="00885614" w:rsidRPr="00CD542C">
        <w:rPr>
          <w:rFonts w:ascii="Times New Roman" w:hAnsi="Times New Roman"/>
          <w:b/>
          <w:bCs/>
          <w:sz w:val="28"/>
          <w:szCs w:val="28"/>
        </w:rPr>
        <w:t xml:space="preserve"> y el tipo penal</w:t>
      </w:r>
      <w:r w:rsidR="002F156B" w:rsidRPr="00CD542C">
        <w:rPr>
          <w:rStyle w:val="Refdenotaalpie"/>
          <w:rFonts w:ascii="Times New Roman" w:hAnsi="Times New Roman"/>
          <w:b/>
          <w:bCs/>
          <w:sz w:val="28"/>
          <w:szCs w:val="28"/>
        </w:rPr>
        <w:footnoteReference w:id="37"/>
      </w:r>
    </w:p>
    <w:p w:rsidR="002F156B" w:rsidRPr="00CD542C" w:rsidRDefault="002F156B" w:rsidP="00CD542C">
      <w:pPr>
        <w:spacing w:after="0" w:line="240" w:lineRule="auto"/>
        <w:jc w:val="both"/>
        <w:rPr>
          <w:rFonts w:ascii="Times New Roman" w:hAnsi="Times New Roman"/>
          <w:sz w:val="28"/>
          <w:szCs w:val="28"/>
        </w:rPr>
      </w:pPr>
    </w:p>
    <w:p w:rsidR="002F156B" w:rsidRPr="00CD542C" w:rsidRDefault="00C11A71" w:rsidP="00CD542C">
      <w:pPr>
        <w:pStyle w:val="Prrafodelista"/>
        <w:ind w:left="0"/>
        <w:contextualSpacing w:val="0"/>
        <w:jc w:val="both"/>
        <w:rPr>
          <w:sz w:val="28"/>
          <w:szCs w:val="28"/>
        </w:rPr>
      </w:pPr>
      <w:r w:rsidRPr="00CD542C">
        <w:rPr>
          <w:sz w:val="28"/>
          <w:szCs w:val="28"/>
        </w:rPr>
        <w:t>20</w:t>
      </w:r>
      <w:r w:rsidR="00316403" w:rsidRPr="00CD542C">
        <w:rPr>
          <w:sz w:val="28"/>
          <w:szCs w:val="28"/>
        </w:rPr>
        <w:t xml:space="preserve">. </w:t>
      </w:r>
      <w:r w:rsidR="004E3696" w:rsidRPr="00CD542C">
        <w:rPr>
          <w:sz w:val="28"/>
          <w:szCs w:val="28"/>
        </w:rPr>
        <w:t xml:space="preserve">La tipicidad es la consagración normativa de los comportamientos humanos reprochables desde el punto de vista penal, a través de esquemas dogmáticos y las pautas de derecho positivo vigentes. Se expresa a través del tipo penal, conformado por elementos que definen la tipicidad de una </w:t>
      </w:r>
      <w:r w:rsidR="004E3696" w:rsidRPr="00CD542C">
        <w:rPr>
          <w:sz w:val="28"/>
          <w:szCs w:val="28"/>
        </w:rPr>
        <w:lastRenderedPageBreak/>
        <w:t>conducta punible, los cuales son: los sujetos (activo y pasivo), el objeto, la conducta en sí misma y los ingredientes normativos y subjetivos, así como la consagración de la pena.</w:t>
      </w:r>
    </w:p>
    <w:p w:rsidR="002F156B" w:rsidRPr="00CD542C" w:rsidRDefault="002F156B" w:rsidP="00CD542C">
      <w:pPr>
        <w:pStyle w:val="Prrafodelista"/>
        <w:ind w:left="0"/>
        <w:contextualSpacing w:val="0"/>
        <w:jc w:val="both"/>
        <w:rPr>
          <w:sz w:val="28"/>
          <w:szCs w:val="28"/>
        </w:rPr>
      </w:pPr>
    </w:p>
    <w:p w:rsidR="002F156B" w:rsidRPr="00CD542C" w:rsidRDefault="002F156B" w:rsidP="00CD542C">
      <w:pPr>
        <w:pStyle w:val="Prrafodelista"/>
        <w:ind w:left="0"/>
        <w:contextualSpacing w:val="0"/>
        <w:jc w:val="both"/>
        <w:rPr>
          <w:sz w:val="28"/>
          <w:szCs w:val="28"/>
        </w:rPr>
      </w:pPr>
      <w:r w:rsidRPr="00CD542C">
        <w:rPr>
          <w:sz w:val="28"/>
          <w:szCs w:val="28"/>
        </w:rPr>
        <w:t xml:space="preserve">La  importancia de la descripción que realiza el tipo radica en la precisión, detalle y claridad de la conducta reprochable, por tal razón supone el empleo de </w:t>
      </w:r>
      <w:r w:rsidR="00F25DD0" w:rsidRPr="00CD542C">
        <w:rPr>
          <w:sz w:val="28"/>
          <w:szCs w:val="28"/>
        </w:rPr>
        <w:t>fórmulas</w:t>
      </w:r>
      <w:r w:rsidRPr="00CD542C">
        <w:rPr>
          <w:sz w:val="28"/>
          <w:szCs w:val="28"/>
        </w:rPr>
        <w:t xml:space="preserve"> gramaticales con uno o varios verbos delimitadores de la conducta, uno o varios sujetos que la realicen y algo sobre lo que recaiga la misma y en especial la pena a imponer. </w:t>
      </w:r>
      <w:r w:rsidR="00F87AF1" w:rsidRPr="00CD542C">
        <w:rPr>
          <w:sz w:val="28"/>
          <w:szCs w:val="28"/>
        </w:rPr>
        <w:t xml:space="preserve"> </w:t>
      </w:r>
    </w:p>
    <w:p w:rsidR="00F87AF1" w:rsidRPr="00CD542C" w:rsidRDefault="00F87AF1" w:rsidP="00CD542C">
      <w:pPr>
        <w:pStyle w:val="Prrafodelista"/>
        <w:ind w:left="0"/>
        <w:contextualSpacing w:val="0"/>
        <w:jc w:val="both"/>
        <w:rPr>
          <w:sz w:val="28"/>
          <w:szCs w:val="28"/>
        </w:rPr>
      </w:pPr>
    </w:p>
    <w:p w:rsidR="00F87AF1" w:rsidRPr="00CD542C" w:rsidRDefault="00337E07" w:rsidP="00CD542C">
      <w:pPr>
        <w:pStyle w:val="Prrafodelista"/>
        <w:ind w:left="0"/>
        <w:contextualSpacing w:val="0"/>
        <w:jc w:val="both"/>
        <w:rPr>
          <w:sz w:val="28"/>
          <w:szCs w:val="28"/>
        </w:rPr>
      </w:pPr>
      <w:r w:rsidRPr="00CD542C">
        <w:rPr>
          <w:sz w:val="28"/>
          <w:szCs w:val="28"/>
        </w:rPr>
        <w:t>La precisión</w:t>
      </w:r>
      <w:r w:rsidR="00AD7318" w:rsidRPr="00CD542C">
        <w:rPr>
          <w:sz w:val="28"/>
          <w:szCs w:val="28"/>
        </w:rPr>
        <w:t xml:space="preserve"> y claridad de la descripción del hecho punible busca garantizar</w:t>
      </w:r>
      <w:r w:rsidRPr="00CD542C">
        <w:rPr>
          <w:sz w:val="28"/>
          <w:szCs w:val="28"/>
        </w:rPr>
        <w:t xml:space="preserve"> la objetividad en el proceso de adecuación típica</w:t>
      </w:r>
      <w:r w:rsidR="00F87AF1" w:rsidRPr="00CD542C">
        <w:rPr>
          <w:sz w:val="28"/>
          <w:szCs w:val="28"/>
        </w:rPr>
        <w:t xml:space="preserve"> </w:t>
      </w:r>
      <w:r w:rsidR="00AD7318" w:rsidRPr="00CD542C">
        <w:rPr>
          <w:sz w:val="28"/>
          <w:szCs w:val="28"/>
        </w:rPr>
        <w:t>lo cual es un presupuesto para el</w:t>
      </w:r>
      <w:r w:rsidR="00F87AF1" w:rsidRPr="00CD542C">
        <w:rPr>
          <w:sz w:val="28"/>
          <w:szCs w:val="28"/>
        </w:rPr>
        <w:t xml:space="preserve"> subsiguien</w:t>
      </w:r>
      <w:r w:rsidR="00AD7318" w:rsidRPr="00CD542C">
        <w:rPr>
          <w:sz w:val="28"/>
          <w:szCs w:val="28"/>
        </w:rPr>
        <w:t>te</w:t>
      </w:r>
      <w:r w:rsidR="00885614" w:rsidRPr="00CD542C">
        <w:rPr>
          <w:sz w:val="28"/>
          <w:szCs w:val="28"/>
        </w:rPr>
        <w:t xml:space="preserve"> juicio de antijuridicidad</w:t>
      </w:r>
      <w:r w:rsidR="00885614" w:rsidRPr="00CD542C">
        <w:rPr>
          <w:rStyle w:val="Refdenotaalpie"/>
          <w:sz w:val="28"/>
          <w:szCs w:val="28"/>
        </w:rPr>
        <w:footnoteReference w:id="38"/>
      </w:r>
      <w:r w:rsidR="00885614" w:rsidRPr="00CD542C">
        <w:rPr>
          <w:sz w:val="28"/>
          <w:szCs w:val="28"/>
        </w:rPr>
        <w:t>,</w:t>
      </w:r>
      <w:r w:rsidR="00F87AF1" w:rsidRPr="00CD542C">
        <w:rPr>
          <w:sz w:val="28"/>
          <w:szCs w:val="28"/>
        </w:rPr>
        <w:t xml:space="preserve"> culpabilidad</w:t>
      </w:r>
      <w:r w:rsidR="00885614" w:rsidRPr="00CD542C">
        <w:rPr>
          <w:rStyle w:val="Refdenotaalpie"/>
          <w:sz w:val="28"/>
          <w:szCs w:val="28"/>
        </w:rPr>
        <w:footnoteReference w:id="39"/>
      </w:r>
      <w:r w:rsidR="00885614" w:rsidRPr="00CD542C">
        <w:rPr>
          <w:sz w:val="28"/>
          <w:szCs w:val="28"/>
        </w:rPr>
        <w:t xml:space="preserve"> y punibilidad</w:t>
      </w:r>
      <w:r w:rsidR="00F87AF1" w:rsidRPr="00CD542C">
        <w:rPr>
          <w:sz w:val="28"/>
          <w:szCs w:val="28"/>
        </w:rPr>
        <w:t>.</w:t>
      </w:r>
    </w:p>
    <w:p w:rsidR="002F156B" w:rsidRPr="00CD542C" w:rsidRDefault="002F156B" w:rsidP="00CD542C">
      <w:pPr>
        <w:pStyle w:val="Prrafodelista"/>
        <w:ind w:left="0"/>
        <w:contextualSpacing w:val="0"/>
        <w:jc w:val="both"/>
        <w:rPr>
          <w:sz w:val="28"/>
          <w:szCs w:val="28"/>
        </w:rPr>
      </w:pPr>
    </w:p>
    <w:p w:rsidR="002F156B" w:rsidRPr="00CD542C" w:rsidRDefault="00775213" w:rsidP="00CD542C">
      <w:pPr>
        <w:spacing w:after="0" w:line="240" w:lineRule="auto"/>
        <w:jc w:val="both"/>
        <w:rPr>
          <w:rFonts w:ascii="Times New Roman" w:hAnsi="Times New Roman"/>
          <w:sz w:val="28"/>
          <w:szCs w:val="28"/>
        </w:rPr>
      </w:pPr>
      <w:r w:rsidRPr="00CD542C">
        <w:rPr>
          <w:rFonts w:ascii="Times New Roman" w:hAnsi="Times New Roman"/>
          <w:sz w:val="28"/>
          <w:szCs w:val="28"/>
        </w:rPr>
        <w:t>21</w:t>
      </w:r>
      <w:r w:rsidR="00316403" w:rsidRPr="00CD542C">
        <w:rPr>
          <w:rFonts w:ascii="Times New Roman" w:hAnsi="Times New Roman"/>
          <w:sz w:val="28"/>
          <w:szCs w:val="28"/>
        </w:rPr>
        <w:t>.</w:t>
      </w:r>
      <w:r w:rsidR="002F156B" w:rsidRPr="00CD542C">
        <w:rPr>
          <w:rFonts w:ascii="Times New Roman" w:hAnsi="Times New Roman"/>
          <w:sz w:val="28"/>
          <w:szCs w:val="28"/>
        </w:rPr>
        <w:t xml:space="preserve"> En resumen, </w:t>
      </w:r>
      <w:r w:rsidR="00316403" w:rsidRPr="00CD542C">
        <w:rPr>
          <w:rFonts w:ascii="Times New Roman" w:hAnsi="Times New Roman"/>
          <w:sz w:val="28"/>
          <w:szCs w:val="28"/>
        </w:rPr>
        <w:t>l</w:t>
      </w:r>
      <w:r w:rsidR="002F156B" w:rsidRPr="00CD542C">
        <w:rPr>
          <w:rFonts w:ascii="Times New Roman" w:hAnsi="Times New Roman"/>
          <w:sz w:val="28"/>
          <w:szCs w:val="28"/>
        </w:rPr>
        <w:t xml:space="preserve">a tipicidad es la consagración normativa de los comportamientos humanos reprochables desde el punto de vista penal, a través de esquemas dogmáticos y las pautas de derecho positivo vigentes. Se expresa a través del tipo penal, conformado por elementos que definen la tipicidad de una conducta punible, los cuales son: los sujetos, el objeto, la conducta en </w:t>
      </w:r>
      <w:r w:rsidR="00316403" w:rsidRPr="00CD542C">
        <w:rPr>
          <w:rFonts w:ascii="Times New Roman" w:hAnsi="Times New Roman"/>
          <w:sz w:val="28"/>
          <w:szCs w:val="28"/>
        </w:rPr>
        <w:t>sí</w:t>
      </w:r>
      <w:r w:rsidR="002F156B" w:rsidRPr="00CD542C">
        <w:rPr>
          <w:rFonts w:ascii="Times New Roman" w:hAnsi="Times New Roman"/>
          <w:sz w:val="28"/>
          <w:szCs w:val="28"/>
        </w:rPr>
        <w:t xml:space="preserve"> misma y los ingredientes normativos y subjetivos, así como la consagración de la pena. </w:t>
      </w:r>
    </w:p>
    <w:p w:rsidR="002F156B" w:rsidRPr="00CD542C" w:rsidRDefault="002F156B" w:rsidP="00CD542C">
      <w:pPr>
        <w:pStyle w:val="Prrafodelista"/>
        <w:ind w:left="0"/>
        <w:contextualSpacing w:val="0"/>
        <w:jc w:val="both"/>
        <w:rPr>
          <w:sz w:val="28"/>
          <w:szCs w:val="28"/>
        </w:rPr>
      </w:pPr>
    </w:p>
    <w:p w:rsidR="002F156B" w:rsidRPr="00CD542C" w:rsidRDefault="00D27E3D" w:rsidP="00CD542C">
      <w:pPr>
        <w:pStyle w:val="Prrafodelista"/>
        <w:ind w:left="0"/>
        <w:contextualSpacing w:val="0"/>
        <w:jc w:val="both"/>
        <w:rPr>
          <w:sz w:val="28"/>
          <w:szCs w:val="28"/>
        </w:rPr>
      </w:pPr>
      <w:r w:rsidRPr="00CD542C">
        <w:rPr>
          <w:sz w:val="28"/>
          <w:szCs w:val="28"/>
        </w:rPr>
        <w:t>Así, l</w:t>
      </w:r>
      <w:r w:rsidR="002F156B" w:rsidRPr="00CD542C">
        <w:rPr>
          <w:sz w:val="28"/>
          <w:szCs w:val="28"/>
        </w:rPr>
        <w:t>a definición del tipo penal, permite realizar la adecuación típica de la conducta objeto de reproche, puesto que se trata de un examen de correlación entre un comportamiento humano y todos los elementos estructurales del tipo.</w:t>
      </w:r>
    </w:p>
    <w:p w:rsidR="002F156B" w:rsidRPr="00CD542C" w:rsidRDefault="002F156B" w:rsidP="00CD542C">
      <w:pPr>
        <w:spacing w:after="0" w:line="240" w:lineRule="auto"/>
        <w:jc w:val="both"/>
        <w:rPr>
          <w:rFonts w:ascii="Times New Roman" w:hAnsi="Times New Roman"/>
          <w:sz w:val="28"/>
          <w:szCs w:val="28"/>
        </w:rPr>
      </w:pPr>
    </w:p>
    <w:p w:rsidR="002F156B" w:rsidRPr="00CD542C" w:rsidRDefault="00622D39" w:rsidP="00CD542C">
      <w:pPr>
        <w:spacing w:after="0" w:line="240" w:lineRule="auto"/>
        <w:jc w:val="both"/>
        <w:rPr>
          <w:rFonts w:ascii="Times New Roman" w:hAnsi="Times New Roman"/>
          <w:b/>
          <w:bCs/>
          <w:sz w:val="28"/>
          <w:szCs w:val="28"/>
        </w:rPr>
      </w:pPr>
      <w:r w:rsidRPr="00CD542C">
        <w:rPr>
          <w:rFonts w:ascii="Times New Roman" w:hAnsi="Times New Roman"/>
          <w:b/>
          <w:bCs/>
          <w:sz w:val="28"/>
          <w:szCs w:val="28"/>
        </w:rPr>
        <w:lastRenderedPageBreak/>
        <w:t>Los tipos penales abiertos</w:t>
      </w:r>
      <w:r w:rsidR="00504AD8" w:rsidRPr="00CD542C">
        <w:rPr>
          <w:rFonts w:ascii="Times New Roman" w:hAnsi="Times New Roman"/>
          <w:b/>
          <w:bCs/>
          <w:sz w:val="28"/>
          <w:szCs w:val="28"/>
        </w:rPr>
        <w:t xml:space="preserve"> y los tipos penales en blanco</w:t>
      </w:r>
    </w:p>
    <w:p w:rsidR="002F156B" w:rsidRPr="00CD542C" w:rsidRDefault="002F156B" w:rsidP="00CD542C">
      <w:pPr>
        <w:spacing w:after="0" w:line="240" w:lineRule="auto"/>
        <w:jc w:val="both"/>
        <w:rPr>
          <w:rFonts w:ascii="Times New Roman" w:hAnsi="Times New Roman"/>
          <w:sz w:val="28"/>
          <w:szCs w:val="28"/>
        </w:rPr>
      </w:pPr>
    </w:p>
    <w:p w:rsidR="00F3439E" w:rsidRPr="00CD542C" w:rsidRDefault="00775213"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rPr>
        <w:t>22</w:t>
      </w:r>
      <w:r w:rsidR="00466E0C" w:rsidRPr="00CD542C">
        <w:rPr>
          <w:rFonts w:ascii="Times New Roman" w:hAnsi="Times New Roman"/>
          <w:sz w:val="28"/>
          <w:szCs w:val="28"/>
        </w:rPr>
        <w:t xml:space="preserve">. </w:t>
      </w:r>
      <w:r w:rsidR="00F3439E" w:rsidRPr="00CD542C">
        <w:rPr>
          <w:rFonts w:ascii="Times New Roman" w:hAnsi="Times New Roman"/>
          <w:sz w:val="28"/>
          <w:szCs w:val="28"/>
        </w:rPr>
        <w:t xml:space="preserve">Como se advirtió, </w:t>
      </w:r>
      <w:r w:rsidR="00F3439E" w:rsidRPr="00CD542C">
        <w:rPr>
          <w:rFonts w:ascii="Times New Roman" w:hAnsi="Times New Roman"/>
          <w:sz w:val="28"/>
          <w:szCs w:val="28"/>
          <w:lang w:val="es-CO"/>
        </w:rPr>
        <w:t>el principio de legalidad</w:t>
      </w:r>
      <w:r w:rsidR="00083467" w:rsidRPr="00CD542C">
        <w:rPr>
          <w:rFonts w:ascii="Times New Roman" w:hAnsi="Times New Roman"/>
          <w:sz w:val="28"/>
          <w:szCs w:val="28"/>
          <w:lang w:val="es-CO"/>
        </w:rPr>
        <w:t xml:space="preserve"> como pilar del Estado Social de D</w:t>
      </w:r>
      <w:r w:rsidR="00642240" w:rsidRPr="00CD542C">
        <w:rPr>
          <w:rFonts w:ascii="Times New Roman" w:hAnsi="Times New Roman"/>
          <w:sz w:val="28"/>
          <w:szCs w:val="28"/>
          <w:lang w:val="es-CO"/>
        </w:rPr>
        <w:t>erecho</w:t>
      </w:r>
      <w:r w:rsidR="00F3439E" w:rsidRPr="00CD542C">
        <w:rPr>
          <w:rFonts w:ascii="Times New Roman" w:hAnsi="Times New Roman"/>
          <w:sz w:val="28"/>
          <w:szCs w:val="28"/>
          <w:lang w:val="es-CO"/>
        </w:rPr>
        <w:t xml:space="preserve"> </w:t>
      </w:r>
      <w:r w:rsidR="00083467" w:rsidRPr="00CD542C">
        <w:rPr>
          <w:rFonts w:ascii="Times New Roman" w:hAnsi="Times New Roman"/>
          <w:sz w:val="28"/>
          <w:szCs w:val="28"/>
          <w:lang w:val="es-CO"/>
        </w:rPr>
        <w:t xml:space="preserve">garantiza </w:t>
      </w:r>
      <w:r w:rsidR="00F3439E" w:rsidRPr="00CD542C">
        <w:rPr>
          <w:rFonts w:ascii="Times New Roman" w:hAnsi="Times New Roman"/>
          <w:sz w:val="28"/>
          <w:szCs w:val="28"/>
          <w:lang w:val="es-CO"/>
        </w:rPr>
        <w:t xml:space="preserve">el derecho al debido proceso en la medida en que tiene como objetivo asegurar que las conductas típicas estén definidas de forma inequívoca para que el individuo pueda conocerlas </w:t>
      </w:r>
      <w:r w:rsidR="00642240" w:rsidRPr="00CD542C">
        <w:rPr>
          <w:rFonts w:ascii="Times New Roman" w:hAnsi="Times New Roman"/>
          <w:sz w:val="28"/>
          <w:szCs w:val="28"/>
          <w:lang w:val="es-CO"/>
        </w:rPr>
        <w:t>y así asegurar su ámbito de libertad</w:t>
      </w:r>
      <w:r w:rsidR="00F3439E" w:rsidRPr="00CD542C">
        <w:rPr>
          <w:rFonts w:ascii="Times New Roman" w:hAnsi="Times New Roman"/>
          <w:sz w:val="28"/>
          <w:szCs w:val="28"/>
          <w:lang w:val="es-CO"/>
        </w:rPr>
        <w:t>.</w:t>
      </w:r>
      <w:r w:rsidR="00083467" w:rsidRPr="00CD542C">
        <w:rPr>
          <w:rFonts w:ascii="Times New Roman" w:hAnsi="Times New Roman"/>
          <w:sz w:val="28"/>
          <w:szCs w:val="28"/>
          <w:lang w:val="es-CO"/>
        </w:rPr>
        <w:t xml:space="preserve"> Es decir,</w:t>
      </w:r>
      <w:r w:rsidR="00C900AC" w:rsidRPr="00CD542C">
        <w:rPr>
          <w:rFonts w:ascii="Times New Roman" w:hAnsi="Times New Roman"/>
          <w:sz w:val="28"/>
          <w:szCs w:val="28"/>
          <w:lang w:val="es-CO"/>
        </w:rPr>
        <w:t xml:space="preserve"> </w:t>
      </w:r>
      <w:r w:rsidR="00474E17" w:rsidRPr="00CD542C">
        <w:rPr>
          <w:rFonts w:ascii="Times New Roman" w:hAnsi="Times New Roman"/>
          <w:sz w:val="28"/>
          <w:szCs w:val="28"/>
          <w:lang w:val="es-CO"/>
        </w:rPr>
        <w:t xml:space="preserve">permiten que el individuo </w:t>
      </w:r>
      <w:r w:rsidR="00C900AC" w:rsidRPr="00CD542C">
        <w:rPr>
          <w:rFonts w:ascii="Times New Roman" w:hAnsi="Times New Roman"/>
          <w:sz w:val="28"/>
          <w:szCs w:val="28"/>
          <w:lang w:val="es-CO"/>
        </w:rPr>
        <w:t>tenga la certeza de</w:t>
      </w:r>
      <w:r w:rsidR="00083467" w:rsidRPr="00CD542C">
        <w:rPr>
          <w:rFonts w:ascii="Times New Roman" w:hAnsi="Times New Roman"/>
          <w:sz w:val="28"/>
          <w:szCs w:val="28"/>
          <w:lang w:val="es-CO"/>
        </w:rPr>
        <w:t xml:space="preserve"> saber</w:t>
      </w:r>
      <w:r w:rsidR="00C900AC" w:rsidRPr="00CD542C">
        <w:rPr>
          <w:rFonts w:ascii="Times New Roman" w:hAnsi="Times New Roman"/>
          <w:sz w:val="28"/>
          <w:szCs w:val="28"/>
          <w:lang w:val="es-CO"/>
        </w:rPr>
        <w:t xml:space="preserve"> hasta dónde va la protección jurídica de sus actos.</w:t>
      </w:r>
      <w:r w:rsidR="00F3439E" w:rsidRPr="00CD542C">
        <w:rPr>
          <w:rFonts w:ascii="Times New Roman" w:hAnsi="Times New Roman"/>
          <w:sz w:val="28"/>
          <w:szCs w:val="28"/>
          <w:lang w:val="es-CO"/>
        </w:rPr>
        <w:t xml:space="preserve"> No obst</w:t>
      </w:r>
      <w:r w:rsidR="00C900AC" w:rsidRPr="00CD542C">
        <w:rPr>
          <w:rFonts w:ascii="Times New Roman" w:hAnsi="Times New Roman"/>
          <w:sz w:val="28"/>
          <w:szCs w:val="28"/>
          <w:lang w:val="es-CO"/>
        </w:rPr>
        <w:t>ante, la jurisprudencia constitucional</w:t>
      </w:r>
      <w:r w:rsidR="00F3439E" w:rsidRPr="00CD542C">
        <w:rPr>
          <w:rFonts w:ascii="Times New Roman" w:hAnsi="Times New Roman"/>
          <w:sz w:val="28"/>
          <w:szCs w:val="28"/>
          <w:lang w:val="es-CO"/>
        </w:rPr>
        <w:t xml:space="preserve"> ha admitido</w:t>
      </w:r>
      <w:r w:rsidR="00FC04CA" w:rsidRPr="00CD542C">
        <w:rPr>
          <w:rFonts w:ascii="Times New Roman" w:hAnsi="Times New Roman"/>
          <w:sz w:val="28"/>
          <w:szCs w:val="28"/>
          <w:lang w:val="es-CO"/>
        </w:rPr>
        <w:t xml:space="preserve"> límites a este principio </w:t>
      </w:r>
      <w:r w:rsidR="007215E0" w:rsidRPr="00CD542C">
        <w:rPr>
          <w:rFonts w:ascii="Times New Roman" w:hAnsi="Times New Roman"/>
          <w:sz w:val="28"/>
          <w:szCs w:val="28"/>
          <w:lang w:val="es-CO"/>
        </w:rPr>
        <w:t xml:space="preserve">al permitir </w:t>
      </w:r>
      <w:r w:rsidR="00F3439E" w:rsidRPr="00CD542C">
        <w:rPr>
          <w:rFonts w:ascii="Times New Roman" w:hAnsi="Times New Roman"/>
          <w:sz w:val="28"/>
          <w:szCs w:val="28"/>
          <w:lang w:val="es-CO"/>
        </w:rPr>
        <w:t xml:space="preserve">delitos que gocen de un cierto grado de indeterminación en su descripción </w:t>
      </w:r>
      <w:r w:rsidR="007215E0" w:rsidRPr="00CD542C">
        <w:rPr>
          <w:rFonts w:ascii="Times New Roman" w:hAnsi="Times New Roman"/>
          <w:sz w:val="28"/>
          <w:szCs w:val="28"/>
          <w:lang w:val="es-CO"/>
        </w:rPr>
        <w:t>típica como los tipos penales</w:t>
      </w:r>
      <w:r w:rsidR="00F3439E" w:rsidRPr="00CD542C">
        <w:rPr>
          <w:rFonts w:ascii="Times New Roman" w:hAnsi="Times New Roman"/>
          <w:sz w:val="28"/>
          <w:szCs w:val="28"/>
          <w:lang w:val="es-CO"/>
        </w:rPr>
        <w:t xml:space="preserve"> abiertos y los tipos penales en blanco.</w:t>
      </w:r>
    </w:p>
    <w:p w:rsidR="00E5349B" w:rsidRPr="00CD542C" w:rsidRDefault="00E5349B" w:rsidP="00CD542C">
      <w:pPr>
        <w:spacing w:after="0" w:line="240" w:lineRule="auto"/>
        <w:jc w:val="both"/>
        <w:rPr>
          <w:rFonts w:ascii="Times New Roman" w:hAnsi="Times New Roman"/>
          <w:sz w:val="28"/>
          <w:szCs w:val="28"/>
          <w:lang w:val="es-CO"/>
        </w:rPr>
      </w:pPr>
    </w:p>
    <w:p w:rsidR="00FC04CA" w:rsidRPr="00CD542C" w:rsidRDefault="00FC04CA"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En este sentido, </w:t>
      </w:r>
      <w:r w:rsidR="002823A9" w:rsidRPr="00CD542C">
        <w:rPr>
          <w:rFonts w:ascii="Times New Roman" w:hAnsi="Times New Roman"/>
          <w:sz w:val="28"/>
          <w:szCs w:val="28"/>
          <w:lang w:val="es-CO"/>
        </w:rPr>
        <w:t xml:space="preserve">la Corte Constitucional ha establecido que </w:t>
      </w:r>
      <w:r w:rsidRPr="00CD542C">
        <w:rPr>
          <w:rFonts w:ascii="Times New Roman" w:hAnsi="Times New Roman"/>
          <w:sz w:val="28"/>
          <w:szCs w:val="28"/>
          <w:lang w:val="es-CO"/>
        </w:rPr>
        <w:t>el límite que se impone al principio de legalidad subyace en que la determinaci</w:t>
      </w:r>
      <w:r w:rsidR="00474E17" w:rsidRPr="00CD542C">
        <w:rPr>
          <w:rFonts w:ascii="Times New Roman" w:hAnsi="Times New Roman"/>
          <w:sz w:val="28"/>
          <w:szCs w:val="28"/>
          <w:lang w:val="es-CO"/>
        </w:rPr>
        <w:t>ón de una conducta só</w:t>
      </w:r>
      <w:r w:rsidRPr="00CD542C">
        <w:rPr>
          <w:rFonts w:ascii="Times New Roman" w:hAnsi="Times New Roman"/>
          <w:sz w:val="28"/>
          <w:szCs w:val="28"/>
          <w:lang w:val="es-CO"/>
        </w:rPr>
        <w:t>lo es posible hasta donde se lo permite su naturaleza</w:t>
      </w:r>
      <w:r w:rsidR="00996B48" w:rsidRPr="00CD542C">
        <w:rPr>
          <w:rStyle w:val="Refdenotaalpie"/>
          <w:rFonts w:ascii="Times New Roman" w:hAnsi="Times New Roman"/>
          <w:sz w:val="28"/>
          <w:szCs w:val="28"/>
          <w:lang w:val="es-CO"/>
        </w:rPr>
        <w:footnoteReference w:id="40"/>
      </w:r>
      <w:r w:rsidRPr="00CD542C">
        <w:rPr>
          <w:rFonts w:ascii="Times New Roman" w:hAnsi="Times New Roman"/>
          <w:sz w:val="28"/>
          <w:szCs w:val="28"/>
          <w:lang w:val="es-CO"/>
        </w:rPr>
        <w:t>. Lo anterior, reconoce que existen ciertas conductas qu</w:t>
      </w:r>
      <w:r w:rsidR="00794A59" w:rsidRPr="00CD542C">
        <w:rPr>
          <w:rFonts w:ascii="Times New Roman" w:hAnsi="Times New Roman"/>
          <w:sz w:val="28"/>
          <w:szCs w:val="28"/>
          <w:lang w:val="es-CO"/>
        </w:rPr>
        <w:t>e impiden su descripción exacta</w:t>
      </w:r>
      <w:r w:rsidR="00996B48" w:rsidRPr="00CD542C">
        <w:rPr>
          <w:rFonts w:ascii="Times New Roman" w:hAnsi="Times New Roman"/>
          <w:sz w:val="28"/>
          <w:szCs w:val="28"/>
          <w:lang w:val="es-CO"/>
        </w:rPr>
        <w:t xml:space="preserve"> en tipos cerrados y completos</w:t>
      </w:r>
      <w:r w:rsidR="00794A59" w:rsidRPr="00CD542C">
        <w:rPr>
          <w:rFonts w:ascii="Times New Roman" w:hAnsi="Times New Roman"/>
          <w:sz w:val="28"/>
          <w:szCs w:val="28"/>
          <w:lang w:val="es-CO"/>
        </w:rPr>
        <w:t>. S</w:t>
      </w:r>
      <w:r w:rsidRPr="00CD542C">
        <w:rPr>
          <w:rFonts w:ascii="Times New Roman" w:hAnsi="Times New Roman"/>
          <w:sz w:val="28"/>
          <w:szCs w:val="28"/>
          <w:lang w:val="es-CO"/>
        </w:rPr>
        <w:t xml:space="preserve">in embargo, </w:t>
      </w:r>
      <w:r w:rsidR="002823A9" w:rsidRPr="00CD542C">
        <w:rPr>
          <w:rFonts w:ascii="Times New Roman" w:hAnsi="Times New Roman"/>
          <w:sz w:val="28"/>
          <w:szCs w:val="28"/>
          <w:lang w:val="es-CO"/>
        </w:rPr>
        <w:t xml:space="preserve">en estos casos la indeterminación del tipo penal </w:t>
      </w:r>
      <w:r w:rsidRPr="00CD542C">
        <w:rPr>
          <w:rFonts w:ascii="Times New Roman" w:hAnsi="Times New Roman"/>
          <w:sz w:val="28"/>
          <w:szCs w:val="28"/>
          <w:lang w:val="es-CO"/>
        </w:rPr>
        <w:t>no viola el principio de legalidad si el Legislador precisa los elementos básicos para delimitar la prohibición o hace que éstos sean determinables mediante la remisión a otras instancias complementarias. En el caso de los tipos abiertos la remisión</w:t>
      </w:r>
      <w:r w:rsidR="00E0221B" w:rsidRPr="00CD542C">
        <w:rPr>
          <w:rFonts w:ascii="Times New Roman" w:hAnsi="Times New Roman"/>
          <w:sz w:val="28"/>
          <w:szCs w:val="28"/>
          <w:lang w:val="es-CO"/>
        </w:rPr>
        <w:t xml:space="preserve"> es judicial, mientras que en el caso</w:t>
      </w:r>
      <w:r w:rsidR="00474E17" w:rsidRPr="00CD542C">
        <w:rPr>
          <w:rFonts w:ascii="Times New Roman" w:hAnsi="Times New Roman"/>
          <w:sz w:val="28"/>
          <w:szCs w:val="28"/>
          <w:lang w:val="es-CO"/>
        </w:rPr>
        <w:t xml:space="preserve"> de los tipos en blanco ésta es </w:t>
      </w:r>
      <w:r w:rsidR="00466E0C" w:rsidRPr="00CD542C">
        <w:rPr>
          <w:rFonts w:ascii="Times New Roman" w:hAnsi="Times New Roman"/>
          <w:sz w:val="28"/>
          <w:szCs w:val="28"/>
          <w:lang w:val="es-CO"/>
        </w:rPr>
        <w:t>hacia otro</w:t>
      </w:r>
      <w:r w:rsidRPr="00CD542C">
        <w:rPr>
          <w:rFonts w:ascii="Times New Roman" w:hAnsi="Times New Roman"/>
          <w:sz w:val="28"/>
          <w:szCs w:val="28"/>
          <w:lang w:val="es-CO"/>
        </w:rPr>
        <w:t xml:space="preserve">s </w:t>
      </w:r>
      <w:r w:rsidR="00466E0C" w:rsidRPr="00CD542C">
        <w:rPr>
          <w:rFonts w:ascii="Times New Roman" w:hAnsi="Times New Roman"/>
          <w:sz w:val="28"/>
          <w:szCs w:val="28"/>
          <w:lang w:val="es-CO"/>
        </w:rPr>
        <w:t>contenidos normativos</w:t>
      </w:r>
      <w:r w:rsidRPr="00CD542C">
        <w:rPr>
          <w:rFonts w:ascii="Times New Roman" w:hAnsi="Times New Roman"/>
          <w:sz w:val="28"/>
          <w:szCs w:val="28"/>
          <w:lang w:val="es-CO"/>
        </w:rPr>
        <w:t>.</w:t>
      </w:r>
    </w:p>
    <w:p w:rsidR="00E5349B" w:rsidRPr="00CD542C" w:rsidRDefault="00E5349B" w:rsidP="00CD542C">
      <w:pPr>
        <w:spacing w:after="0" w:line="240" w:lineRule="auto"/>
        <w:jc w:val="both"/>
        <w:rPr>
          <w:rFonts w:ascii="Times New Roman" w:hAnsi="Times New Roman"/>
          <w:sz w:val="28"/>
          <w:szCs w:val="28"/>
          <w:lang w:val="es-CO"/>
        </w:rPr>
      </w:pPr>
    </w:p>
    <w:p w:rsidR="001640A8" w:rsidRPr="00CD542C" w:rsidRDefault="00775213"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23</w:t>
      </w:r>
      <w:r w:rsidR="00E0221B" w:rsidRPr="00CD542C">
        <w:rPr>
          <w:rFonts w:ascii="Times New Roman" w:hAnsi="Times New Roman"/>
          <w:sz w:val="28"/>
          <w:szCs w:val="28"/>
          <w:lang w:val="es-CO"/>
        </w:rPr>
        <w:t xml:space="preserve">. </w:t>
      </w:r>
      <w:r w:rsidR="00A73486" w:rsidRPr="00CD542C">
        <w:rPr>
          <w:rFonts w:ascii="Times New Roman" w:hAnsi="Times New Roman"/>
          <w:sz w:val="28"/>
          <w:szCs w:val="28"/>
          <w:lang w:val="es-CO"/>
        </w:rPr>
        <w:t>E</w:t>
      </w:r>
      <w:r w:rsidR="00F3439E" w:rsidRPr="00CD542C">
        <w:rPr>
          <w:rFonts w:ascii="Times New Roman" w:hAnsi="Times New Roman"/>
          <w:sz w:val="28"/>
          <w:szCs w:val="28"/>
          <w:lang w:val="es-CO"/>
        </w:rPr>
        <w:t xml:space="preserve">ste Tribunal ha dicho </w:t>
      </w:r>
      <w:r w:rsidR="00996B48" w:rsidRPr="00CD542C">
        <w:rPr>
          <w:rFonts w:ascii="Times New Roman" w:hAnsi="Times New Roman"/>
          <w:sz w:val="28"/>
          <w:szCs w:val="28"/>
          <w:lang w:val="es-CO"/>
        </w:rPr>
        <w:t xml:space="preserve">que los tipos penales abiertos son </w:t>
      </w:r>
      <w:r w:rsidR="00F3439E" w:rsidRPr="00CD542C">
        <w:rPr>
          <w:rFonts w:ascii="Times New Roman" w:hAnsi="Times New Roman"/>
          <w:sz w:val="28"/>
          <w:szCs w:val="28"/>
          <w:lang w:val="es-CO"/>
        </w:rPr>
        <w:t>aquellos tipos que permiten un grado de indeterminación en los elementos normativos que lo configuran</w:t>
      </w:r>
      <w:r w:rsidR="00996B48" w:rsidRPr="00CD542C">
        <w:rPr>
          <w:rStyle w:val="Refdenotaalpie"/>
          <w:rFonts w:ascii="Times New Roman" w:hAnsi="Times New Roman"/>
          <w:sz w:val="28"/>
          <w:szCs w:val="28"/>
          <w:lang w:val="es-CO"/>
        </w:rPr>
        <w:footnoteReference w:id="41"/>
      </w:r>
      <w:r w:rsidR="00996B48" w:rsidRPr="00CD542C">
        <w:rPr>
          <w:rFonts w:ascii="Times New Roman" w:hAnsi="Times New Roman"/>
          <w:sz w:val="28"/>
          <w:szCs w:val="28"/>
          <w:lang w:val="es-CO"/>
        </w:rPr>
        <w:t>. Estos se diferencian de los tipos penales en blanco en</w:t>
      </w:r>
      <w:r w:rsidR="00FC04CA" w:rsidRPr="00CD542C">
        <w:rPr>
          <w:rFonts w:ascii="Times New Roman" w:hAnsi="Times New Roman"/>
          <w:sz w:val="28"/>
          <w:szCs w:val="28"/>
          <w:lang w:val="es-CO"/>
        </w:rPr>
        <w:t xml:space="preserve"> que</w:t>
      </w:r>
      <w:r w:rsidR="00996B48" w:rsidRPr="00CD542C">
        <w:rPr>
          <w:rFonts w:ascii="Times New Roman" w:hAnsi="Times New Roman"/>
          <w:sz w:val="28"/>
          <w:szCs w:val="28"/>
          <w:lang w:val="es-CO"/>
        </w:rPr>
        <w:t xml:space="preserve"> la indeterminación del tipo se supera</w:t>
      </w:r>
      <w:r w:rsidR="00FC04CA" w:rsidRPr="00CD542C">
        <w:rPr>
          <w:rFonts w:ascii="Times New Roman" w:hAnsi="Times New Roman"/>
          <w:sz w:val="28"/>
          <w:szCs w:val="28"/>
          <w:lang w:val="es-CO"/>
        </w:rPr>
        <w:t xml:space="preserve"> </w:t>
      </w:r>
      <w:r w:rsidR="00F3439E" w:rsidRPr="00CD542C">
        <w:rPr>
          <w:rFonts w:ascii="Times New Roman" w:hAnsi="Times New Roman"/>
          <w:sz w:val="28"/>
          <w:szCs w:val="28"/>
          <w:lang w:val="es-CO"/>
        </w:rPr>
        <w:t>mediante el ejercicio de la actividad de interpretación del juez</w:t>
      </w:r>
      <w:r w:rsidR="00642240" w:rsidRPr="00CD542C">
        <w:rPr>
          <w:rStyle w:val="Refdenotaalpie"/>
          <w:rFonts w:ascii="Times New Roman" w:hAnsi="Times New Roman"/>
          <w:sz w:val="28"/>
          <w:szCs w:val="28"/>
          <w:lang w:val="es-CO"/>
        </w:rPr>
        <w:footnoteReference w:id="42"/>
      </w:r>
      <w:r w:rsidR="00F3439E" w:rsidRPr="00CD542C">
        <w:rPr>
          <w:rFonts w:ascii="Times New Roman" w:hAnsi="Times New Roman"/>
          <w:sz w:val="28"/>
          <w:szCs w:val="28"/>
          <w:lang w:val="es-CO"/>
        </w:rPr>
        <w:t xml:space="preserve">. </w:t>
      </w:r>
    </w:p>
    <w:p w:rsidR="002A2DBA" w:rsidRPr="00CD542C" w:rsidRDefault="002A2DBA" w:rsidP="00CD542C">
      <w:pPr>
        <w:spacing w:after="0" w:line="240" w:lineRule="auto"/>
        <w:jc w:val="both"/>
        <w:rPr>
          <w:rFonts w:ascii="Times New Roman" w:hAnsi="Times New Roman"/>
          <w:sz w:val="28"/>
          <w:szCs w:val="28"/>
          <w:lang w:val="es-CO"/>
        </w:rPr>
      </w:pPr>
    </w:p>
    <w:p w:rsidR="00F3439E" w:rsidRPr="00CD542C" w:rsidRDefault="00F3439E"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lastRenderedPageBreak/>
        <w:t>Así,</w:t>
      </w:r>
      <w:r w:rsidR="00E26471" w:rsidRPr="00CD542C">
        <w:rPr>
          <w:rFonts w:ascii="Times New Roman" w:hAnsi="Times New Roman"/>
          <w:sz w:val="28"/>
          <w:szCs w:val="28"/>
          <w:lang w:val="es-CO"/>
        </w:rPr>
        <w:t xml:space="preserve"> por ejemplo,</w:t>
      </w:r>
      <w:r w:rsidRPr="00CD542C">
        <w:rPr>
          <w:rFonts w:ascii="Times New Roman" w:hAnsi="Times New Roman"/>
          <w:sz w:val="28"/>
          <w:szCs w:val="28"/>
          <w:lang w:val="es-CO"/>
        </w:rPr>
        <w:t xml:space="preserve"> en la </w:t>
      </w:r>
      <w:r w:rsidRPr="00CD542C">
        <w:rPr>
          <w:rFonts w:ascii="Times New Roman" w:hAnsi="Times New Roman"/>
          <w:b/>
          <w:bCs/>
          <w:sz w:val="28"/>
          <w:szCs w:val="28"/>
          <w:lang w:val="es-CO"/>
        </w:rPr>
        <w:t>sentencia C-127 de 1993</w:t>
      </w:r>
      <w:r w:rsidRPr="00CD542C">
        <w:rPr>
          <w:rFonts w:ascii="Times New Roman" w:hAnsi="Times New Roman"/>
          <w:sz w:val="28"/>
          <w:szCs w:val="28"/>
          <w:vertAlign w:val="superscript"/>
          <w:lang w:val="es-CO"/>
        </w:rPr>
        <w:footnoteReference w:id="43"/>
      </w:r>
      <w:r w:rsidR="00C975C2" w:rsidRPr="00CD542C">
        <w:rPr>
          <w:rFonts w:ascii="Times New Roman" w:hAnsi="Times New Roman"/>
          <w:b/>
          <w:bCs/>
          <w:sz w:val="28"/>
          <w:szCs w:val="28"/>
          <w:lang w:val="es-CO"/>
        </w:rPr>
        <w:t xml:space="preserve"> </w:t>
      </w:r>
      <w:r w:rsidR="0096052A" w:rsidRPr="00CD542C">
        <w:rPr>
          <w:rFonts w:ascii="Times New Roman" w:hAnsi="Times New Roman"/>
          <w:bCs/>
          <w:sz w:val="28"/>
          <w:szCs w:val="28"/>
          <w:lang w:val="es-CO"/>
        </w:rPr>
        <w:t>al decidir</w:t>
      </w:r>
      <w:r w:rsidR="00C975C2" w:rsidRPr="00CD542C">
        <w:rPr>
          <w:rFonts w:ascii="Times New Roman" w:hAnsi="Times New Roman"/>
          <w:bCs/>
          <w:sz w:val="28"/>
          <w:szCs w:val="28"/>
          <w:lang w:val="es-CO"/>
        </w:rPr>
        <w:t xml:space="preserve"> sobre la constitucionalidad del delito de terrorismo por un cargo de violación al principio de legalidad</w:t>
      </w:r>
      <w:r w:rsidR="00C975C2" w:rsidRPr="00CD542C">
        <w:rPr>
          <w:rFonts w:ascii="Times New Roman" w:hAnsi="Times New Roman"/>
          <w:b/>
          <w:bCs/>
          <w:sz w:val="28"/>
          <w:szCs w:val="28"/>
          <w:lang w:val="es-CO"/>
        </w:rPr>
        <w:t>,</w:t>
      </w:r>
      <w:r w:rsidR="00A73486" w:rsidRPr="00CD542C">
        <w:rPr>
          <w:rFonts w:ascii="Times New Roman" w:hAnsi="Times New Roman"/>
          <w:sz w:val="28"/>
          <w:szCs w:val="28"/>
          <w:lang w:val="es-CO"/>
        </w:rPr>
        <w:t xml:space="preserve"> la Corte dijo</w:t>
      </w:r>
      <w:r w:rsidRPr="00CD542C">
        <w:rPr>
          <w:rFonts w:ascii="Times New Roman" w:hAnsi="Times New Roman"/>
          <w:sz w:val="28"/>
          <w:szCs w:val="28"/>
          <w:lang w:val="es-CO"/>
        </w:rPr>
        <w:t xml:space="preserve"> que los tipos penales tradicionales o estáticos se deben consagrar </w:t>
      </w:r>
      <w:r w:rsidR="00FC04CA" w:rsidRPr="00CD542C">
        <w:rPr>
          <w:rFonts w:ascii="Times New Roman" w:hAnsi="Times New Roman"/>
          <w:sz w:val="28"/>
          <w:szCs w:val="28"/>
          <w:lang w:val="es-CO"/>
        </w:rPr>
        <w:t xml:space="preserve">en </w:t>
      </w:r>
      <w:r w:rsidRPr="00CD542C">
        <w:rPr>
          <w:rFonts w:ascii="Times New Roman" w:hAnsi="Times New Roman"/>
          <w:sz w:val="28"/>
          <w:szCs w:val="28"/>
          <w:lang w:val="es-CO"/>
        </w:rPr>
        <w:t>tipos penales cerrados, pero frente a tipos penales dinámicos o “</w:t>
      </w:r>
      <w:r w:rsidRPr="00CD542C">
        <w:rPr>
          <w:rFonts w:ascii="Times New Roman" w:hAnsi="Times New Roman"/>
          <w:i/>
          <w:iCs/>
          <w:sz w:val="28"/>
          <w:szCs w:val="28"/>
          <w:lang w:val="es-CO"/>
        </w:rPr>
        <w:t>fruto de las nuevas y sofisticadas organizaciones y medios delincuenciales, deben consagrarse tipos penales abiertos</w:t>
      </w:r>
      <w:r w:rsidRPr="00CD542C">
        <w:rPr>
          <w:rFonts w:ascii="Times New Roman" w:hAnsi="Times New Roman"/>
          <w:sz w:val="28"/>
          <w:szCs w:val="28"/>
          <w:lang w:val="es-CO"/>
        </w:rPr>
        <w:t>”. Lo anterior, pues existen ciertas conductas que por atentar contra la dignidad inherente de la persona merecen un trato especial.</w:t>
      </w:r>
    </w:p>
    <w:p w:rsidR="00E5349B" w:rsidRPr="00CD542C" w:rsidRDefault="00E5349B" w:rsidP="00CD542C">
      <w:pPr>
        <w:spacing w:after="0" w:line="240" w:lineRule="auto"/>
        <w:jc w:val="both"/>
        <w:rPr>
          <w:rFonts w:ascii="Times New Roman" w:hAnsi="Times New Roman"/>
          <w:sz w:val="28"/>
          <w:szCs w:val="28"/>
          <w:lang w:val="es-CO"/>
        </w:rPr>
      </w:pPr>
    </w:p>
    <w:p w:rsidR="002E600D" w:rsidRPr="00CD542C" w:rsidRDefault="00BC311B"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A su vez, s</w:t>
      </w:r>
      <w:r w:rsidR="00611006" w:rsidRPr="00CD542C">
        <w:rPr>
          <w:rFonts w:ascii="Times New Roman" w:hAnsi="Times New Roman"/>
          <w:sz w:val="28"/>
          <w:szCs w:val="28"/>
          <w:lang w:val="es-CO"/>
        </w:rPr>
        <w:t xml:space="preserve">obre la indeterminación del tipo frente al principio de legalidad, la Corte precisó en la </w:t>
      </w:r>
      <w:r w:rsidR="00611006" w:rsidRPr="00CD542C">
        <w:rPr>
          <w:rFonts w:ascii="Times New Roman" w:hAnsi="Times New Roman"/>
          <w:b/>
          <w:sz w:val="28"/>
          <w:szCs w:val="28"/>
          <w:lang w:val="es-CO"/>
        </w:rPr>
        <w:t xml:space="preserve">sentencia </w:t>
      </w:r>
      <w:r w:rsidR="00611006" w:rsidRPr="00CD542C">
        <w:rPr>
          <w:rFonts w:ascii="Times New Roman" w:hAnsi="Times New Roman"/>
          <w:b/>
          <w:sz w:val="28"/>
          <w:szCs w:val="28"/>
        </w:rPr>
        <w:t>C-742 de 2012</w:t>
      </w:r>
      <w:r w:rsidR="00611006" w:rsidRPr="00CD542C">
        <w:rPr>
          <w:rStyle w:val="Refdenotaalpie"/>
          <w:rFonts w:ascii="Times New Roman" w:hAnsi="Times New Roman"/>
          <w:b/>
          <w:sz w:val="28"/>
          <w:szCs w:val="28"/>
        </w:rPr>
        <w:footnoteReference w:id="44"/>
      </w:r>
      <w:r w:rsidR="00611006" w:rsidRPr="00CD542C">
        <w:rPr>
          <w:rFonts w:ascii="Times New Roman" w:hAnsi="Times New Roman"/>
          <w:b/>
          <w:sz w:val="28"/>
          <w:szCs w:val="28"/>
        </w:rPr>
        <w:t xml:space="preserve"> </w:t>
      </w:r>
      <w:r w:rsidR="00E26471" w:rsidRPr="00CD542C">
        <w:rPr>
          <w:rFonts w:ascii="Times New Roman" w:hAnsi="Times New Roman"/>
          <w:sz w:val="28"/>
          <w:szCs w:val="28"/>
          <w:lang w:val="es-ES_tradnl"/>
        </w:rPr>
        <w:t>que para</w:t>
      </w:r>
      <w:r w:rsidR="00611006" w:rsidRPr="00CD542C">
        <w:rPr>
          <w:rFonts w:ascii="Times New Roman" w:hAnsi="Times New Roman"/>
          <w:b/>
          <w:sz w:val="28"/>
          <w:szCs w:val="28"/>
          <w:lang w:val="es-ES_tradnl"/>
        </w:rPr>
        <w:t xml:space="preserve"> </w:t>
      </w:r>
      <w:r w:rsidR="00611006" w:rsidRPr="00CD542C">
        <w:rPr>
          <w:rFonts w:ascii="Times New Roman" w:hAnsi="Times New Roman"/>
          <w:sz w:val="28"/>
          <w:szCs w:val="28"/>
          <w:lang w:val="es-ES_tradnl"/>
        </w:rPr>
        <w:t>determinar si un tipo penal se ajusta al principio de legalidad, no basta con demostrar la ambigüedad de las expresiones, sino que debe demostrarse que la vaguedad no es superable desde una interpretación jurídica razonable. Explicó entonces que “</w:t>
      </w:r>
      <w:r w:rsidR="00611006" w:rsidRPr="00CD542C">
        <w:rPr>
          <w:rFonts w:ascii="Times New Roman" w:hAnsi="Times New Roman"/>
          <w:i/>
          <w:sz w:val="28"/>
          <w:szCs w:val="28"/>
          <w:lang w:val="es-ES_tradnl"/>
        </w:rPr>
        <w:t>el juicio de estricta legalidad debe entenderse como un escrutinio de constitucionalidad de la ley penal, que busca establecer si los tipos penales resultan tan imprecisos e indeterminados, que ni aun con apoyo en argumentos jurídicos razonables es posible trazar una frontera que divida con suficiente claridad el comportamiento lícito del ilícito</w:t>
      </w:r>
      <w:r w:rsidR="00611006" w:rsidRPr="00CD542C">
        <w:rPr>
          <w:rFonts w:ascii="Times New Roman" w:hAnsi="Times New Roman"/>
          <w:sz w:val="28"/>
          <w:szCs w:val="28"/>
          <w:lang w:val="es-ES_tradnl"/>
        </w:rPr>
        <w:t>”</w:t>
      </w:r>
      <w:r w:rsidR="00611006" w:rsidRPr="00CD542C">
        <w:rPr>
          <w:rStyle w:val="Refdenotaalpie"/>
          <w:rFonts w:ascii="Times New Roman" w:hAnsi="Times New Roman"/>
          <w:sz w:val="28"/>
          <w:szCs w:val="28"/>
          <w:lang w:val="es-ES_tradnl"/>
        </w:rPr>
        <w:footnoteReference w:id="45"/>
      </w:r>
      <w:r w:rsidR="00611006" w:rsidRPr="00CD542C">
        <w:rPr>
          <w:rFonts w:ascii="Times New Roman" w:hAnsi="Times New Roman"/>
          <w:sz w:val="28"/>
          <w:szCs w:val="28"/>
          <w:lang w:val="es-ES_tradnl"/>
        </w:rPr>
        <w:t>.</w:t>
      </w:r>
    </w:p>
    <w:p w:rsidR="002A2DBA" w:rsidRPr="00CD542C" w:rsidRDefault="002A2DBA" w:rsidP="00CD542C">
      <w:pPr>
        <w:spacing w:after="0" w:line="240" w:lineRule="auto"/>
        <w:jc w:val="both"/>
        <w:rPr>
          <w:rFonts w:ascii="Times New Roman" w:hAnsi="Times New Roman"/>
          <w:sz w:val="28"/>
          <w:szCs w:val="28"/>
          <w:lang w:val="es-CO"/>
        </w:rPr>
      </w:pPr>
    </w:p>
    <w:p w:rsidR="002A2DBA" w:rsidRPr="00CD542C" w:rsidRDefault="002A2DBA"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Igualmente, la jurisprudencia ha establecido que todo tipo penal podría considerarse abierto al dejar un cierto margen de interpretación, por lo tanto se </w:t>
      </w:r>
      <w:r w:rsidRPr="00CD542C">
        <w:rPr>
          <w:rFonts w:ascii="Times New Roman" w:hAnsi="Times New Roman"/>
          <w:sz w:val="28"/>
          <w:szCs w:val="28"/>
          <w:lang w:val="es-CO"/>
        </w:rPr>
        <w:lastRenderedPageBreak/>
        <w:t>trata de una cuestión de grados ante la cual en el control constitucional se debe verificar si existen referencias que permitan precisar su contenido normativo, lo cual puede incluir precedentes</w:t>
      </w:r>
      <w:r w:rsidRPr="00CD542C">
        <w:rPr>
          <w:rStyle w:val="Refdenotaalpie"/>
          <w:rFonts w:ascii="Times New Roman" w:hAnsi="Times New Roman"/>
          <w:sz w:val="28"/>
          <w:szCs w:val="28"/>
          <w:lang w:val="es-CO"/>
        </w:rPr>
        <w:footnoteReference w:id="46"/>
      </w:r>
      <w:r w:rsidRPr="00CD542C">
        <w:rPr>
          <w:rFonts w:ascii="Times New Roman" w:hAnsi="Times New Roman"/>
          <w:sz w:val="28"/>
          <w:szCs w:val="28"/>
          <w:lang w:val="es-CO"/>
        </w:rPr>
        <w:t>.</w:t>
      </w:r>
    </w:p>
    <w:p w:rsidR="002A2DBA" w:rsidRPr="00CD542C" w:rsidRDefault="002A2DBA" w:rsidP="00CD542C">
      <w:pPr>
        <w:spacing w:after="0" w:line="240" w:lineRule="auto"/>
        <w:jc w:val="both"/>
        <w:rPr>
          <w:rFonts w:ascii="Times New Roman" w:hAnsi="Times New Roman"/>
          <w:sz w:val="28"/>
          <w:szCs w:val="28"/>
          <w:lang w:val="es-CO"/>
        </w:rPr>
      </w:pPr>
    </w:p>
    <w:p w:rsidR="00D341E0" w:rsidRPr="00CD542C" w:rsidRDefault="0002614A"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Luego, l</w:t>
      </w:r>
      <w:r w:rsidR="00FC04CA" w:rsidRPr="00CD542C">
        <w:rPr>
          <w:rFonts w:ascii="Times New Roman" w:hAnsi="Times New Roman"/>
          <w:sz w:val="28"/>
          <w:szCs w:val="28"/>
          <w:lang w:val="es-CO"/>
        </w:rPr>
        <w:t xml:space="preserve">a justificación de los tipos penales abiertos también subyace en que hay cierto tipo de conductas que el Legislador no puede describir exhaustivamente, dada la multiplicidad de formas que puede tomar en la realidad. </w:t>
      </w:r>
      <w:r w:rsidR="001213BD" w:rsidRPr="00CD542C">
        <w:rPr>
          <w:rFonts w:ascii="Times New Roman" w:hAnsi="Times New Roman"/>
          <w:sz w:val="28"/>
          <w:szCs w:val="28"/>
          <w:lang w:val="es-CO"/>
        </w:rPr>
        <w:t xml:space="preserve">En este sentido, esta Corporación dijo en la </w:t>
      </w:r>
      <w:r w:rsidR="001213BD" w:rsidRPr="00CD542C">
        <w:rPr>
          <w:rFonts w:ascii="Times New Roman" w:hAnsi="Times New Roman"/>
          <w:b/>
          <w:sz w:val="28"/>
          <w:szCs w:val="28"/>
          <w:lang w:val="es-CO"/>
        </w:rPr>
        <w:t>sentencia C-501 de 2014</w:t>
      </w:r>
      <w:r w:rsidR="001213BD" w:rsidRPr="00CD542C">
        <w:rPr>
          <w:rStyle w:val="Refdenotaalpie"/>
          <w:rFonts w:ascii="Times New Roman" w:hAnsi="Times New Roman"/>
          <w:b/>
          <w:sz w:val="28"/>
          <w:szCs w:val="28"/>
          <w:lang w:val="es-CO"/>
        </w:rPr>
        <w:footnoteReference w:id="47"/>
      </w:r>
      <w:r w:rsidR="001213BD" w:rsidRPr="00CD542C">
        <w:rPr>
          <w:rFonts w:ascii="Times New Roman" w:hAnsi="Times New Roman"/>
          <w:sz w:val="28"/>
          <w:szCs w:val="28"/>
          <w:lang w:val="es-CO"/>
        </w:rPr>
        <w:t xml:space="preserve"> que el examen de validez de los tipos penales abiertos se dirige a establecer si “</w:t>
      </w:r>
      <w:r w:rsidR="001213BD" w:rsidRPr="00CD542C">
        <w:rPr>
          <w:rFonts w:ascii="Times New Roman" w:hAnsi="Times New Roman"/>
          <w:i/>
          <w:sz w:val="28"/>
          <w:szCs w:val="28"/>
          <w:lang w:val="es-CO"/>
        </w:rPr>
        <w:t>el nivel de apertura de la norma impide a los destinatarios individualizar los comportamientos prohibidos y sancionados</w:t>
      </w:r>
      <w:r w:rsidR="001213BD" w:rsidRPr="00CD542C">
        <w:rPr>
          <w:rFonts w:ascii="Times New Roman" w:hAnsi="Times New Roman"/>
          <w:sz w:val="28"/>
          <w:szCs w:val="28"/>
          <w:lang w:val="es-CO"/>
        </w:rPr>
        <w:t>”</w:t>
      </w:r>
      <w:r w:rsidR="001213BD" w:rsidRPr="00CD542C">
        <w:rPr>
          <w:rStyle w:val="Refdenotaalpie"/>
          <w:rFonts w:ascii="Times New Roman" w:hAnsi="Times New Roman"/>
          <w:sz w:val="28"/>
          <w:szCs w:val="28"/>
          <w:lang w:val="es-CO"/>
        </w:rPr>
        <w:footnoteReference w:id="48"/>
      </w:r>
      <w:r w:rsidR="001213BD" w:rsidRPr="00CD542C">
        <w:rPr>
          <w:rFonts w:ascii="Times New Roman" w:hAnsi="Times New Roman"/>
          <w:sz w:val="28"/>
          <w:szCs w:val="28"/>
          <w:lang w:val="es-CO"/>
        </w:rPr>
        <w:t xml:space="preserve"> y que </w:t>
      </w:r>
      <w:r w:rsidR="00D341E0" w:rsidRPr="00CD542C">
        <w:rPr>
          <w:rFonts w:ascii="Times New Roman" w:hAnsi="Times New Roman"/>
          <w:sz w:val="28"/>
          <w:szCs w:val="28"/>
          <w:lang w:val="es-CO"/>
        </w:rPr>
        <w:t xml:space="preserve">la indeterminación de los tipos penales abiertos es compatible con la Constitución si:  </w:t>
      </w:r>
    </w:p>
    <w:p w:rsidR="00D341E0" w:rsidRPr="00CD542C" w:rsidRDefault="00D341E0" w:rsidP="00CD542C">
      <w:pPr>
        <w:spacing w:after="0" w:line="240" w:lineRule="auto"/>
        <w:jc w:val="both"/>
        <w:rPr>
          <w:rFonts w:ascii="Times New Roman" w:hAnsi="Times New Roman"/>
          <w:sz w:val="28"/>
          <w:szCs w:val="28"/>
          <w:lang w:val="es-CO"/>
        </w:rPr>
      </w:pPr>
    </w:p>
    <w:p w:rsidR="002F156B" w:rsidRPr="00CD542C" w:rsidRDefault="00D341E0" w:rsidP="00CD542C">
      <w:pPr>
        <w:spacing w:after="0" w:line="240" w:lineRule="auto"/>
        <w:ind w:left="283" w:right="283"/>
        <w:jc w:val="both"/>
        <w:rPr>
          <w:rFonts w:ascii="Times New Roman" w:hAnsi="Times New Roman"/>
          <w:sz w:val="28"/>
          <w:szCs w:val="28"/>
          <w:lang w:val="es-CO"/>
        </w:rPr>
      </w:pPr>
      <w:r w:rsidRPr="00CD542C">
        <w:rPr>
          <w:rFonts w:ascii="Times New Roman" w:hAnsi="Times New Roman"/>
          <w:sz w:val="28"/>
          <w:szCs w:val="28"/>
          <w:lang w:val="es-CO"/>
        </w:rPr>
        <w:t xml:space="preserve">“(i) (…) </w:t>
      </w:r>
      <w:r w:rsidRPr="00CD542C">
        <w:rPr>
          <w:rFonts w:ascii="Times New Roman" w:hAnsi="Times New Roman"/>
          <w:i/>
          <w:iCs/>
          <w:sz w:val="28"/>
          <w:szCs w:val="28"/>
          <w:lang w:val="es-CO"/>
        </w:rPr>
        <w:t>se puede superar con una actividad interpretativa ordinaria de un destinatario “promedio” del tipo penal, de modo que con mediana diligencia hermenéutica sea posible precisar el alcance de la prohibición; (ii) Además, en casos excepcionales en los que esta actividad hermenéutica del destinatario “promedio” es insuficiente, puede admitirse el tipo penal abierto cuando existe un referente especializado que ha decantado  pautas específicas que precisan el contenido y alcance de la prohibición penal, y tal comprensión se ha trasladado a los destinatarios cuando se efectúa el control constitucional del precepto</w:t>
      </w:r>
      <w:r w:rsidRPr="00CD542C">
        <w:rPr>
          <w:rFonts w:ascii="Times New Roman" w:hAnsi="Times New Roman"/>
          <w:sz w:val="28"/>
          <w:szCs w:val="28"/>
          <w:lang w:val="es-CO"/>
        </w:rPr>
        <w:t>”.</w:t>
      </w:r>
    </w:p>
    <w:p w:rsidR="00F3439E" w:rsidRPr="00CD542C" w:rsidRDefault="00F3439E" w:rsidP="00CD542C">
      <w:pPr>
        <w:spacing w:after="0" w:line="240" w:lineRule="auto"/>
        <w:jc w:val="both"/>
        <w:rPr>
          <w:rFonts w:ascii="Times New Roman" w:hAnsi="Times New Roman"/>
          <w:sz w:val="28"/>
          <w:szCs w:val="28"/>
        </w:rPr>
      </w:pPr>
    </w:p>
    <w:p w:rsidR="00EE6F86" w:rsidRPr="00CD542C" w:rsidRDefault="00DA0C56" w:rsidP="00CD542C">
      <w:pPr>
        <w:spacing w:after="0" w:line="240" w:lineRule="auto"/>
        <w:jc w:val="both"/>
        <w:rPr>
          <w:rFonts w:ascii="Times New Roman" w:hAnsi="Times New Roman"/>
          <w:sz w:val="28"/>
          <w:szCs w:val="28"/>
        </w:rPr>
      </w:pPr>
      <w:r w:rsidRPr="00CD542C">
        <w:rPr>
          <w:rFonts w:ascii="Times New Roman" w:hAnsi="Times New Roman"/>
          <w:sz w:val="28"/>
          <w:szCs w:val="28"/>
        </w:rPr>
        <w:t>2</w:t>
      </w:r>
      <w:r w:rsidR="00775213" w:rsidRPr="00CD542C">
        <w:rPr>
          <w:rFonts w:ascii="Times New Roman" w:hAnsi="Times New Roman"/>
          <w:sz w:val="28"/>
          <w:szCs w:val="28"/>
        </w:rPr>
        <w:t>4</w:t>
      </w:r>
      <w:r w:rsidRPr="00CD542C">
        <w:rPr>
          <w:rFonts w:ascii="Times New Roman" w:hAnsi="Times New Roman"/>
          <w:sz w:val="28"/>
          <w:szCs w:val="28"/>
        </w:rPr>
        <w:t xml:space="preserve">. </w:t>
      </w:r>
      <w:r w:rsidR="00C975C2" w:rsidRPr="00CD542C">
        <w:rPr>
          <w:rFonts w:ascii="Times New Roman" w:hAnsi="Times New Roman"/>
          <w:sz w:val="28"/>
          <w:szCs w:val="28"/>
        </w:rPr>
        <w:t xml:space="preserve">En conclusión, </w:t>
      </w:r>
      <w:r w:rsidR="00207EAF" w:rsidRPr="00CD542C">
        <w:rPr>
          <w:rFonts w:ascii="Times New Roman" w:hAnsi="Times New Roman"/>
          <w:sz w:val="28"/>
          <w:szCs w:val="28"/>
        </w:rPr>
        <w:t>los tipos penales abiertos no violan el principio de legalidad siempre que</w:t>
      </w:r>
      <w:r w:rsidR="00BC311B" w:rsidRPr="00CD542C">
        <w:rPr>
          <w:rFonts w:ascii="Times New Roman" w:hAnsi="Times New Roman"/>
          <w:sz w:val="28"/>
          <w:szCs w:val="28"/>
        </w:rPr>
        <w:t>: i) la</w:t>
      </w:r>
      <w:r w:rsidR="000C252D" w:rsidRPr="00CD542C">
        <w:rPr>
          <w:rFonts w:ascii="Times New Roman" w:hAnsi="Times New Roman"/>
          <w:sz w:val="28"/>
          <w:szCs w:val="28"/>
        </w:rPr>
        <w:t xml:space="preserve"> naturaleza del tipo impida</w:t>
      </w:r>
      <w:r w:rsidR="00BC311B" w:rsidRPr="00CD542C">
        <w:rPr>
          <w:rFonts w:ascii="Times New Roman" w:hAnsi="Times New Roman"/>
          <w:sz w:val="28"/>
          <w:szCs w:val="28"/>
        </w:rPr>
        <w:t xml:space="preserve"> su descripción exacta, pero se encuentran los elementos básicos pa</w:t>
      </w:r>
      <w:r w:rsidR="000C252D" w:rsidRPr="00CD542C">
        <w:rPr>
          <w:rFonts w:ascii="Times New Roman" w:hAnsi="Times New Roman"/>
          <w:sz w:val="28"/>
          <w:szCs w:val="28"/>
        </w:rPr>
        <w:t>ra delimitar la prohibición; y ii</w:t>
      </w:r>
      <w:r w:rsidR="00BC311B" w:rsidRPr="00CD542C">
        <w:rPr>
          <w:rFonts w:ascii="Times New Roman" w:hAnsi="Times New Roman"/>
          <w:sz w:val="28"/>
          <w:szCs w:val="28"/>
        </w:rPr>
        <w:t>)</w:t>
      </w:r>
      <w:r w:rsidR="00207EAF" w:rsidRPr="00CD542C">
        <w:rPr>
          <w:rFonts w:ascii="Times New Roman" w:hAnsi="Times New Roman"/>
          <w:sz w:val="28"/>
          <w:szCs w:val="28"/>
        </w:rPr>
        <w:t xml:space="preserve"> el destinatario pueda comprender </w:t>
      </w:r>
      <w:r w:rsidR="005B0C7C" w:rsidRPr="00CD542C">
        <w:rPr>
          <w:rFonts w:ascii="Times New Roman" w:hAnsi="Times New Roman"/>
          <w:sz w:val="28"/>
          <w:szCs w:val="28"/>
        </w:rPr>
        <w:t>cuál</w:t>
      </w:r>
      <w:r w:rsidR="00207EAF" w:rsidRPr="00CD542C">
        <w:rPr>
          <w:rFonts w:ascii="Times New Roman" w:hAnsi="Times New Roman"/>
          <w:sz w:val="28"/>
          <w:szCs w:val="28"/>
        </w:rPr>
        <w:t xml:space="preserve"> es el comportamiento sancionado, lo cual se </w:t>
      </w:r>
      <w:r w:rsidR="00BC311B" w:rsidRPr="00CD542C">
        <w:rPr>
          <w:rFonts w:ascii="Times New Roman" w:hAnsi="Times New Roman"/>
          <w:sz w:val="28"/>
          <w:szCs w:val="28"/>
        </w:rPr>
        <w:t>verifica cuando</w:t>
      </w:r>
      <w:r w:rsidR="00207EAF" w:rsidRPr="00CD542C">
        <w:rPr>
          <w:rFonts w:ascii="Times New Roman" w:hAnsi="Times New Roman"/>
          <w:sz w:val="28"/>
          <w:szCs w:val="28"/>
        </w:rPr>
        <w:t xml:space="preserve"> mediante un ejercicio de ac</w:t>
      </w:r>
      <w:r w:rsidR="00E26471" w:rsidRPr="00CD542C">
        <w:rPr>
          <w:rFonts w:ascii="Times New Roman" w:hAnsi="Times New Roman"/>
          <w:sz w:val="28"/>
          <w:szCs w:val="28"/>
        </w:rPr>
        <w:t>tividad interpretativa ordinaria</w:t>
      </w:r>
      <w:r w:rsidR="00207EAF" w:rsidRPr="00CD542C">
        <w:rPr>
          <w:rFonts w:ascii="Times New Roman" w:hAnsi="Times New Roman"/>
          <w:sz w:val="28"/>
          <w:szCs w:val="28"/>
        </w:rPr>
        <w:t xml:space="preserve"> se puede precisar el alcance de la prohibición o cuando existe un referente especializado que precisa los parámetros específicos del contenido y alcance de la prohibición.</w:t>
      </w:r>
    </w:p>
    <w:p w:rsidR="00EE6F86" w:rsidRPr="00CD542C" w:rsidRDefault="00EE6F86" w:rsidP="00CD542C">
      <w:pPr>
        <w:spacing w:after="0" w:line="240" w:lineRule="auto"/>
        <w:jc w:val="both"/>
        <w:rPr>
          <w:rFonts w:ascii="Times New Roman" w:hAnsi="Times New Roman"/>
          <w:sz w:val="28"/>
          <w:szCs w:val="28"/>
        </w:rPr>
      </w:pPr>
    </w:p>
    <w:p w:rsidR="00605441" w:rsidRPr="00CD542C" w:rsidRDefault="00775213" w:rsidP="00CD542C">
      <w:pPr>
        <w:spacing w:after="0" w:line="240" w:lineRule="auto"/>
        <w:jc w:val="both"/>
        <w:rPr>
          <w:rFonts w:ascii="Times New Roman" w:hAnsi="Times New Roman"/>
          <w:sz w:val="28"/>
          <w:szCs w:val="28"/>
        </w:rPr>
      </w:pPr>
      <w:r w:rsidRPr="00CD542C">
        <w:rPr>
          <w:rFonts w:ascii="Times New Roman" w:hAnsi="Times New Roman"/>
          <w:sz w:val="28"/>
          <w:szCs w:val="28"/>
        </w:rPr>
        <w:t>25</w:t>
      </w:r>
      <w:r w:rsidR="00DA0C56" w:rsidRPr="00CD542C">
        <w:rPr>
          <w:rFonts w:ascii="Times New Roman" w:hAnsi="Times New Roman"/>
          <w:sz w:val="28"/>
          <w:szCs w:val="28"/>
        </w:rPr>
        <w:t xml:space="preserve">. </w:t>
      </w:r>
      <w:r w:rsidR="00FD0D81" w:rsidRPr="00CD542C">
        <w:rPr>
          <w:rFonts w:ascii="Times New Roman" w:hAnsi="Times New Roman"/>
          <w:sz w:val="28"/>
          <w:szCs w:val="28"/>
        </w:rPr>
        <w:t xml:space="preserve">De otra parte, los tipos penales en blanco se refieren </w:t>
      </w:r>
      <w:r w:rsidR="00B14F72" w:rsidRPr="00CD542C">
        <w:rPr>
          <w:rFonts w:ascii="Times New Roman" w:hAnsi="Times New Roman"/>
          <w:sz w:val="28"/>
          <w:szCs w:val="28"/>
        </w:rPr>
        <w:t>a aquellas conductas típicas que</w:t>
      </w:r>
      <w:r w:rsidR="00B821CA" w:rsidRPr="00CD542C">
        <w:rPr>
          <w:rFonts w:ascii="Times New Roman" w:hAnsi="Times New Roman"/>
          <w:sz w:val="28"/>
          <w:szCs w:val="28"/>
        </w:rPr>
        <w:t xml:space="preserve"> aunque incluyen un precepto y una sanción, el precepto es relativamente indeterminado y requiere de otro contenido normativo para que se precise</w:t>
      </w:r>
      <w:r w:rsidR="006A08FB" w:rsidRPr="00CD542C">
        <w:rPr>
          <w:rStyle w:val="Refdenotaalpie"/>
          <w:rFonts w:ascii="Times New Roman" w:hAnsi="Times New Roman"/>
          <w:sz w:val="28"/>
          <w:szCs w:val="28"/>
        </w:rPr>
        <w:footnoteReference w:id="49"/>
      </w:r>
      <w:r w:rsidR="00B821CA" w:rsidRPr="00CD542C">
        <w:rPr>
          <w:rFonts w:ascii="Times New Roman" w:hAnsi="Times New Roman"/>
          <w:sz w:val="28"/>
          <w:szCs w:val="28"/>
        </w:rPr>
        <w:t>.</w:t>
      </w:r>
      <w:r w:rsidR="00C975C2" w:rsidRPr="00CD542C">
        <w:rPr>
          <w:rFonts w:ascii="Times New Roman" w:hAnsi="Times New Roman"/>
          <w:sz w:val="28"/>
          <w:szCs w:val="28"/>
        </w:rPr>
        <w:t xml:space="preserve"> </w:t>
      </w:r>
      <w:r w:rsidR="00706C7C" w:rsidRPr="00CD542C">
        <w:rPr>
          <w:rFonts w:ascii="Times New Roman" w:hAnsi="Times New Roman"/>
          <w:sz w:val="28"/>
          <w:szCs w:val="28"/>
        </w:rPr>
        <w:t>Así, se les ha denominado tipos de reenvío, por la necesidad de remitirse a otras disposiciones legales para poder llevar a cabo el proceso de adecuación típica.</w:t>
      </w:r>
    </w:p>
    <w:p w:rsidR="00706C7C" w:rsidRPr="00CD542C" w:rsidRDefault="00706C7C" w:rsidP="00CD542C">
      <w:pPr>
        <w:spacing w:after="0" w:line="240" w:lineRule="auto"/>
        <w:jc w:val="both"/>
        <w:rPr>
          <w:rFonts w:ascii="Times New Roman" w:hAnsi="Times New Roman"/>
          <w:sz w:val="28"/>
          <w:szCs w:val="28"/>
        </w:rPr>
      </w:pPr>
    </w:p>
    <w:p w:rsidR="00FD0D81" w:rsidRPr="00CD542C" w:rsidRDefault="00DA0C56" w:rsidP="00CD542C">
      <w:pPr>
        <w:spacing w:after="0" w:line="240" w:lineRule="auto"/>
        <w:jc w:val="both"/>
        <w:rPr>
          <w:rFonts w:ascii="Times New Roman" w:hAnsi="Times New Roman"/>
          <w:sz w:val="28"/>
          <w:szCs w:val="28"/>
        </w:rPr>
      </w:pPr>
      <w:r w:rsidRPr="00CD542C">
        <w:rPr>
          <w:rFonts w:ascii="Times New Roman" w:hAnsi="Times New Roman"/>
          <w:sz w:val="28"/>
          <w:szCs w:val="28"/>
        </w:rPr>
        <w:t>Luego</w:t>
      </w:r>
      <w:r w:rsidR="00F91719" w:rsidRPr="00CD542C">
        <w:rPr>
          <w:rFonts w:ascii="Times New Roman" w:hAnsi="Times New Roman"/>
          <w:sz w:val="28"/>
          <w:szCs w:val="28"/>
        </w:rPr>
        <w:t>, en los tipos penales en blanco o de reenvío</w:t>
      </w:r>
      <w:r w:rsidR="00C975C2" w:rsidRPr="00CD542C">
        <w:rPr>
          <w:rFonts w:ascii="Times New Roman" w:hAnsi="Times New Roman"/>
          <w:sz w:val="28"/>
          <w:szCs w:val="28"/>
        </w:rPr>
        <w:t xml:space="preserve"> si bien existe un grado de indeterminación en la conducta ésta es determinable y en esa medida es compatible con el principio de legalidad.</w:t>
      </w:r>
      <w:r w:rsidR="00B821CA" w:rsidRPr="00CD542C">
        <w:rPr>
          <w:rFonts w:ascii="Times New Roman" w:hAnsi="Times New Roman"/>
          <w:sz w:val="28"/>
          <w:szCs w:val="28"/>
        </w:rPr>
        <w:t xml:space="preserve"> Así, </w:t>
      </w:r>
      <w:r w:rsidR="00D81B70" w:rsidRPr="00CD542C">
        <w:rPr>
          <w:rFonts w:ascii="Times New Roman" w:hAnsi="Times New Roman"/>
          <w:sz w:val="28"/>
          <w:szCs w:val="28"/>
        </w:rPr>
        <w:t>los requisitos de</w:t>
      </w:r>
      <w:r w:rsidRPr="00CD542C">
        <w:rPr>
          <w:rFonts w:ascii="Times New Roman" w:hAnsi="Times New Roman"/>
          <w:sz w:val="28"/>
          <w:szCs w:val="28"/>
        </w:rPr>
        <w:t xml:space="preserve"> claridad y </w:t>
      </w:r>
      <w:r w:rsidRPr="00CD542C">
        <w:rPr>
          <w:rFonts w:ascii="Times New Roman" w:hAnsi="Times New Roman"/>
          <w:sz w:val="28"/>
          <w:szCs w:val="28"/>
        </w:rPr>
        <w:lastRenderedPageBreak/>
        <w:t>certeza de este principio</w:t>
      </w:r>
      <w:r w:rsidR="00B821CA" w:rsidRPr="00CD542C">
        <w:rPr>
          <w:rFonts w:ascii="Times New Roman" w:hAnsi="Times New Roman"/>
          <w:sz w:val="28"/>
          <w:szCs w:val="28"/>
        </w:rPr>
        <w:t xml:space="preserve"> admite</w:t>
      </w:r>
      <w:r w:rsidR="00D81B70" w:rsidRPr="00CD542C">
        <w:rPr>
          <w:rFonts w:ascii="Times New Roman" w:hAnsi="Times New Roman"/>
          <w:sz w:val="28"/>
          <w:szCs w:val="28"/>
        </w:rPr>
        <w:t>n</w:t>
      </w:r>
      <w:r w:rsidR="00B821CA" w:rsidRPr="00CD542C">
        <w:rPr>
          <w:rFonts w:ascii="Times New Roman" w:hAnsi="Times New Roman"/>
          <w:sz w:val="28"/>
          <w:szCs w:val="28"/>
        </w:rPr>
        <w:t xml:space="preserve"> que se remita a otras normas que no necesariamente deben tener el mismo rango legal</w:t>
      </w:r>
      <w:r w:rsidR="006A08FB" w:rsidRPr="00CD542C">
        <w:rPr>
          <w:rFonts w:ascii="Times New Roman" w:hAnsi="Times New Roman"/>
          <w:sz w:val="28"/>
          <w:szCs w:val="28"/>
        </w:rPr>
        <w:t xml:space="preserve"> pero que permiten </w:t>
      </w:r>
      <w:r w:rsidRPr="00CD542C">
        <w:rPr>
          <w:rFonts w:ascii="Times New Roman" w:hAnsi="Times New Roman"/>
          <w:sz w:val="28"/>
          <w:szCs w:val="28"/>
        </w:rPr>
        <w:t xml:space="preserve">establecer </w:t>
      </w:r>
      <w:r w:rsidR="006A08FB" w:rsidRPr="00CD542C">
        <w:rPr>
          <w:rFonts w:ascii="Times New Roman" w:hAnsi="Times New Roman"/>
          <w:sz w:val="28"/>
          <w:szCs w:val="28"/>
        </w:rPr>
        <w:t>de forma inequívoca el alcance de la conducta penalizada</w:t>
      </w:r>
      <w:r w:rsidR="00B821CA" w:rsidRPr="00CD542C">
        <w:rPr>
          <w:rStyle w:val="Refdenotaalpie"/>
          <w:rFonts w:ascii="Times New Roman" w:hAnsi="Times New Roman"/>
          <w:sz w:val="28"/>
          <w:szCs w:val="28"/>
        </w:rPr>
        <w:footnoteReference w:id="50"/>
      </w:r>
      <w:r w:rsidR="00B821CA" w:rsidRPr="00CD542C">
        <w:rPr>
          <w:rFonts w:ascii="Times New Roman" w:hAnsi="Times New Roman"/>
          <w:sz w:val="28"/>
          <w:szCs w:val="28"/>
        </w:rPr>
        <w:t>.</w:t>
      </w:r>
      <w:r w:rsidR="006A08FB" w:rsidRPr="00CD542C">
        <w:rPr>
          <w:rFonts w:ascii="Times New Roman" w:hAnsi="Times New Roman"/>
          <w:sz w:val="28"/>
          <w:szCs w:val="28"/>
        </w:rPr>
        <w:t xml:space="preserve"> </w:t>
      </w:r>
    </w:p>
    <w:p w:rsidR="00D81B70" w:rsidRPr="00CD542C" w:rsidRDefault="00D81B70" w:rsidP="00CD542C">
      <w:pPr>
        <w:spacing w:after="0" w:line="240" w:lineRule="auto"/>
        <w:jc w:val="both"/>
        <w:rPr>
          <w:rFonts w:ascii="Times New Roman" w:hAnsi="Times New Roman"/>
          <w:sz w:val="28"/>
          <w:szCs w:val="28"/>
        </w:rPr>
      </w:pPr>
    </w:p>
    <w:p w:rsidR="00D81B70" w:rsidRPr="00CD542C" w:rsidRDefault="00F91719" w:rsidP="00CD542C">
      <w:pPr>
        <w:spacing w:after="0" w:line="240" w:lineRule="auto"/>
        <w:jc w:val="both"/>
        <w:rPr>
          <w:rFonts w:ascii="Times New Roman" w:hAnsi="Times New Roman"/>
          <w:sz w:val="28"/>
          <w:szCs w:val="28"/>
        </w:rPr>
      </w:pPr>
      <w:r w:rsidRPr="00CD542C">
        <w:rPr>
          <w:rFonts w:ascii="Times New Roman" w:hAnsi="Times New Roman"/>
          <w:sz w:val="28"/>
          <w:szCs w:val="28"/>
        </w:rPr>
        <w:t>Igualmente, la</w:t>
      </w:r>
      <w:r w:rsidR="00D81B70" w:rsidRPr="00CD542C">
        <w:rPr>
          <w:rFonts w:ascii="Times New Roman" w:hAnsi="Times New Roman"/>
          <w:sz w:val="28"/>
          <w:szCs w:val="28"/>
        </w:rPr>
        <w:t xml:space="preserve"> jurisprudencia ha dicho que los tipos penales en blanco</w:t>
      </w:r>
      <w:r w:rsidRPr="00CD542C">
        <w:rPr>
          <w:rFonts w:ascii="Times New Roman" w:hAnsi="Times New Roman"/>
          <w:sz w:val="28"/>
          <w:szCs w:val="28"/>
        </w:rPr>
        <w:t xml:space="preserve"> se justifican en los casos que</w:t>
      </w:r>
      <w:r w:rsidR="00D81B70" w:rsidRPr="00CD542C">
        <w:rPr>
          <w:rFonts w:ascii="Times New Roman" w:hAnsi="Times New Roman"/>
          <w:sz w:val="28"/>
          <w:szCs w:val="28"/>
        </w:rPr>
        <w:t xml:space="preserve"> regulan fenómenos dinámicos que no admiten la regulación estricta del tipo por su volatilidad, que exige una actualización normativa constante</w:t>
      </w:r>
      <w:r w:rsidR="00D81B70" w:rsidRPr="00CD542C">
        <w:rPr>
          <w:rStyle w:val="Refdenotaalpie"/>
          <w:rFonts w:ascii="Times New Roman" w:hAnsi="Times New Roman"/>
          <w:sz w:val="28"/>
          <w:szCs w:val="28"/>
        </w:rPr>
        <w:footnoteReference w:id="51"/>
      </w:r>
      <w:r w:rsidR="00D81B70" w:rsidRPr="00CD542C">
        <w:rPr>
          <w:rFonts w:ascii="Times New Roman" w:hAnsi="Times New Roman"/>
          <w:sz w:val="28"/>
          <w:szCs w:val="28"/>
        </w:rPr>
        <w:t>.</w:t>
      </w:r>
    </w:p>
    <w:p w:rsidR="00B14F72" w:rsidRPr="00CD542C" w:rsidRDefault="00B14F72" w:rsidP="00CD542C">
      <w:pPr>
        <w:spacing w:after="0" w:line="240" w:lineRule="auto"/>
        <w:jc w:val="both"/>
        <w:rPr>
          <w:rFonts w:ascii="Times New Roman" w:hAnsi="Times New Roman"/>
          <w:sz w:val="28"/>
          <w:szCs w:val="28"/>
        </w:rPr>
      </w:pPr>
    </w:p>
    <w:p w:rsidR="00FD0D81" w:rsidRPr="00CD542C" w:rsidRDefault="00DA0C56" w:rsidP="00CD542C">
      <w:pPr>
        <w:spacing w:after="0" w:line="240" w:lineRule="auto"/>
        <w:jc w:val="both"/>
        <w:rPr>
          <w:rFonts w:ascii="Times New Roman" w:hAnsi="Times New Roman"/>
          <w:sz w:val="28"/>
          <w:szCs w:val="28"/>
        </w:rPr>
      </w:pPr>
      <w:r w:rsidRPr="00CD542C">
        <w:rPr>
          <w:rFonts w:ascii="Times New Roman" w:hAnsi="Times New Roman"/>
          <w:sz w:val="28"/>
          <w:szCs w:val="28"/>
        </w:rPr>
        <w:t>2</w:t>
      </w:r>
      <w:r w:rsidR="00775213" w:rsidRPr="00CD542C">
        <w:rPr>
          <w:rFonts w:ascii="Times New Roman" w:hAnsi="Times New Roman"/>
          <w:sz w:val="28"/>
          <w:szCs w:val="28"/>
        </w:rPr>
        <w:t>6</w:t>
      </w:r>
      <w:r w:rsidRPr="00CD542C">
        <w:rPr>
          <w:rFonts w:ascii="Times New Roman" w:hAnsi="Times New Roman"/>
          <w:sz w:val="28"/>
          <w:szCs w:val="28"/>
        </w:rPr>
        <w:t xml:space="preserve">. </w:t>
      </w:r>
      <w:r w:rsidR="00EC1454" w:rsidRPr="00CD542C">
        <w:rPr>
          <w:rFonts w:ascii="Times New Roman" w:hAnsi="Times New Roman"/>
          <w:sz w:val="28"/>
          <w:szCs w:val="28"/>
        </w:rPr>
        <w:t>Sobre el tipo de remisiones</w:t>
      </w:r>
      <w:r w:rsidR="00E26471" w:rsidRPr="00CD542C">
        <w:rPr>
          <w:rFonts w:ascii="Times New Roman" w:hAnsi="Times New Roman"/>
          <w:sz w:val="28"/>
          <w:szCs w:val="28"/>
        </w:rPr>
        <w:t>,</w:t>
      </w:r>
      <w:r w:rsidR="00EC1454" w:rsidRPr="00CD542C">
        <w:rPr>
          <w:rFonts w:ascii="Times New Roman" w:hAnsi="Times New Roman"/>
          <w:sz w:val="28"/>
          <w:szCs w:val="28"/>
        </w:rPr>
        <w:t xml:space="preserve"> la </w:t>
      </w:r>
      <w:r w:rsidR="00EC1454" w:rsidRPr="00CD542C">
        <w:rPr>
          <w:rFonts w:ascii="Times New Roman" w:hAnsi="Times New Roman"/>
          <w:b/>
          <w:bCs/>
          <w:sz w:val="28"/>
          <w:szCs w:val="28"/>
        </w:rPr>
        <w:t>sentencia C-605 de 2006</w:t>
      </w:r>
      <w:r w:rsidR="00EC1454" w:rsidRPr="00CD542C">
        <w:rPr>
          <w:rStyle w:val="Refdenotaalpie"/>
          <w:rFonts w:ascii="Times New Roman" w:hAnsi="Times New Roman"/>
          <w:sz w:val="28"/>
          <w:szCs w:val="28"/>
        </w:rPr>
        <w:footnoteReference w:id="52"/>
      </w:r>
      <w:r w:rsidR="00EC1454" w:rsidRPr="00CD542C">
        <w:rPr>
          <w:rFonts w:ascii="Times New Roman" w:hAnsi="Times New Roman"/>
          <w:sz w:val="28"/>
          <w:szCs w:val="28"/>
        </w:rPr>
        <w:t xml:space="preserve"> señala que</w:t>
      </w:r>
      <w:r w:rsidR="009F37A5" w:rsidRPr="00CD542C">
        <w:rPr>
          <w:rFonts w:ascii="Times New Roman" w:hAnsi="Times New Roman"/>
          <w:sz w:val="28"/>
          <w:szCs w:val="28"/>
        </w:rPr>
        <w:t xml:space="preserve"> en los tipos penales en blanco el precepto puede expresarse al integrar otras normas al tipo penal, de rango extralegal o infralegal y que</w:t>
      </w:r>
      <w:r w:rsidR="00EC1454" w:rsidRPr="00CD542C">
        <w:rPr>
          <w:rFonts w:ascii="Times New Roman" w:hAnsi="Times New Roman"/>
          <w:sz w:val="28"/>
          <w:szCs w:val="28"/>
        </w:rPr>
        <w:t xml:space="preserve"> la remisión puede ser propia o impropia</w:t>
      </w:r>
      <w:r w:rsidR="009F37A5" w:rsidRPr="00CD542C">
        <w:rPr>
          <w:rFonts w:ascii="Times New Roman" w:hAnsi="Times New Roman"/>
          <w:sz w:val="28"/>
          <w:szCs w:val="28"/>
        </w:rPr>
        <w:t xml:space="preserve"> según el rango de la norma con la cual se efectúa el complemento. Así, la remisión impropia se refiere a la remisión a otra norma de igual rango por lo que se respeta el principio de legalidad</w:t>
      </w:r>
      <w:r w:rsidR="00C975C2" w:rsidRPr="00CD542C">
        <w:rPr>
          <w:rFonts w:ascii="Times New Roman" w:hAnsi="Times New Roman"/>
          <w:sz w:val="28"/>
          <w:szCs w:val="28"/>
        </w:rPr>
        <w:t xml:space="preserve"> en sentido estricto, al guardar la reserva legal en la determinación de la conducta punible ya que </w:t>
      </w:r>
      <w:r w:rsidR="009F37A5" w:rsidRPr="00CD542C">
        <w:rPr>
          <w:rFonts w:ascii="Times New Roman" w:hAnsi="Times New Roman"/>
          <w:sz w:val="28"/>
          <w:szCs w:val="28"/>
        </w:rPr>
        <w:t xml:space="preserve">la voluntad del Legislador se </w:t>
      </w:r>
      <w:r w:rsidR="005C2504" w:rsidRPr="00CD542C">
        <w:rPr>
          <w:rFonts w:ascii="Times New Roman" w:hAnsi="Times New Roman"/>
          <w:sz w:val="28"/>
          <w:szCs w:val="28"/>
        </w:rPr>
        <w:t>compone</w:t>
      </w:r>
      <w:r w:rsidR="009F37A5" w:rsidRPr="00CD542C">
        <w:rPr>
          <w:rFonts w:ascii="Times New Roman" w:hAnsi="Times New Roman"/>
          <w:sz w:val="28"/>
          <w:szCs w:val="28"/>
        </w:rPr>
        <w:t xml:space="preserve"> a partir de la integración de varias normas</w:t>
      </w:r>
      <w:r w:rsidR="006C0B0A" w:rsidRPr="00CD542C">
        <w:rPr>
          <w:rStyle w:val="Refdenotaalpie"/>
          <w:rFonts w:ascii="Times New Roman" w:hAnsi="Times New Roman"/>
          <w:sz w:val="28"/>
          <w:szCs w:val="28"/>
        </w:rPr>
        <w:footnoteReference w:id="53"/>
      </w:r>
      <w:r w:rsidR="009F37A5" w:rsidRPr="00CD542C">
        <w:rPr>
          <w:rFonts w:ascii="Times New Roman" w:hAnsi="Times New Roman"/>
          <w:sz w:val="28"/>
          <w:szCs w:val="28"/>
        </w:rPr>
        <w:t xml:space="preserve">. En la remisión propia, </w:t>
      </w:r>
      <w:r w:rsidR="00C975C2" w:rsidRPr="00CD542C">
        <w:rPr>
          <w:rFonts w:ascii="Times New Roman" w:hAnsi="Times New Roman"/>
          <w:sz w:val="28"/>
          <w:szCs w:val="28"/>
        </w:rPr>
        <w:t xml:space="preserve">es decir a normas </w:t>
      </w:r>
      <w:r w:rsidR="009F37A5" w:rsidRPr="00CD542C">
        <w:rPr>
          <w:rFonts w:ascii="Times New Roman" w:hAnsi="Times New Roman"/>
          <w:sz w:val="28"/>
          <w:szCs w:val="28"/>
        </w:rPr>
        <w:t>de diferente rango legal, sólo se admite la remisión de elementos diferentes a</w:t>
      </w:r>
      <w:r w:rsidR="00D81B70" w:rsidRPr="00CD542C">
        <w:rPr>
          <w:rFonts w:ascii="Times New Roman" w:hAnsi="Times New Roman"/>
          <w:sz w:val="28"/>
          <w:szCs w:val="28"/>
        </w:rPr>
        <w:t>l verbo rector</w:t>
      </w:r>
      <w:r w:rsidR="009F37A5" w:rsidRPr="00CD542C">
        <w:rPr>
          <w:rFonts w:ascii="Times New Roman" w:hAnsi="Times New Roman"/>
          <w:sz w:val="28"/>
          <w:szCs w:val="28"/>
        </w:rPr>
        <w:t xml:space="preserve"> y a la sanción</w:t>
      </w:r>
      <w:r w:rsidR="0007629F" w:rsidRPr="00CD542C">
        <w:rPr>
          <w:rStyle w:val="Refdenotaalpie"/>
          <w:rFonts w:ascii="Times New Roman" w:hAnsi="Times New Roman"/>
          <w:sz w:val="28"/>
          <w:szCs w:val="28"/>
        </w:rPr>
        <w:footnoteReference w:id="54"/>
      </w:r>
      <w:r w:rsidR="009F37A5" w:rsidRPr="00CD542C">
        <w:rPr>
          <w:rFonts w:ascii="Times New Roman" w:hAnsi="Times New Roman"/>
          <w:sz w:val="28"/>
          <w:szCs w:val="28"/>
        </w:rPr>
        <w:t>.</w:t>
      </w:r>
      <w:r w:rsidR="008C4E6D" w:rsidRPr="00CD542C">
        <w:rPr>
          <w:rFonts w:ascii="Times New Roman" w:hAnsi="Times New Roman"/>
          <w:sz w:val="28"/>
          <w:szCs w:val="28"/>
        </w:rPr>
        <w:t xml:space="preserve"> </w:t>
      </w:r>
      <w:r w:rsidR="00C975C2" w:rsidRPr="00CD542C">
        <w:rPr>
          <w:rFonts w:ascii="Times New Roman" w:hAnsi="Times New Roman"/>
          <w:sz w:val="28"/>
          <w:szCs w:val="28"/>
        </w:rPr>
        <w:t>En esa oportunidad, l</w:t>
      </w:r>
      <w:r w:rsidR="008C4E6D" w:rsidRPr="00CD542C">
        <w:rPr>
          <w:rFonts w:ascii="Times New Roman" w:hAnsi="Times New Roman"/>
          <w:sz w:val="28"/>
          <w:szCs w:val="28"/>
        </w:rPr>
        <w:t xml:space="preserve">a Corte también indicó que es posible que la </w:t>
      </w:r>
      <w:r w:rsidR="008C4E6D" w:rsidRPr="00CD542C">
        <w:rPr>
          <w:rFonts w:ascii="Times New Roman" w:hAnsi="Times New Roman"/>
          <w:sz w:val="28"/>
          <w:szCs w:val="28"/>
        </w:rPr>
        <w:lastRenderedPageBreak/>
        <w:t>norma a la cual se remite “</w:t>
      </w:r>
      <w:r w:rsidR="008C4E6D" w:rsidRPr="00CD542C">
        <w:rPr>
          <w:rFonts w:ascii="Times New Roman" w:hAnsi="Times New Roman"/>
          <w:i/>
          <w:iCs/>
          <w:sz w:val="28"/>
          <w:szCs w:val="28"/>
        </w:rPr>
        <w:t>se expida con posterioridad a éste</w:t>
      </w:r>
      <w:r w:rsidRPr="00CD542C">
        <w:rPr>
          <w:rFonts w:ascii="Times New Roman" w:hAnsi="Times New Roman"/>
          <w:i/>
          <w:iCs/>
          <w:sz w:val="28"/>
          <w:szCs w:val="28"/>
        </w:rPr>
        <w:t xml:space="preserve"> [</w:t>
      </w:r>
      <w:r w:rsidRPr="00CD542C">
        <w:rPr>
          <w:rFonts w:ascii="Times New Roman" w:hAnsi="Times New Roman"/>
          <w:sz w:val="28"/>
          <w:szCs w:val="28"/>
        </w:rPr>
        <w:t>la norma penal</w:t>
      </w:r>
      <w:r w:rsidRPr="00CD542C">
        <w:rPr>
          <w:rFonts w:ascii="Times New Roman" w:hAnsi="Times New Roman"/>
          <w:i/>
          <w:iCs/>
          <w:sz w:val="28"/>
          <w:szCs w:val="28"/>
        </w:rPr>
        <w:t>]</w:t>
      </w:r>
      <w:r w:rsidR="008C4E6D" w:rsidRPr="00CD542C">
        <w:rPr>
          <w:rFonts w:ascii="Times New Roman" w:hAnsi="Times New Roman"/>
          <w:i/>
          <w:iCs/>
          <w:sz w:val="28"/>
          <w:szCs w:val="28"/>
        </w:rPr>
        <w:t>, pero se exige la existencia de la norma de complemento para la conformación final del tipo penal</w:t>
      </w:r>
      <w:r w:rsidR="008C4E6D" w:rsidRPr="00CD542C">
        <w:rPr>
          <w:rFonts w:ascii="Times New Roman" w:hAnsi="Times New Roman"/>
          <w:sz w:val="28"/>
          <w:szCs w:val="28"/>
        </w:rPr>
        <w:t>”</w:t>
      </w:r>
      <w:r w:rsidR="00EB47D3" w:rsidRPr="00CD542C">
        <w:rPr>
          <w:rStyle w:val="Refdenotaalpie"/>
          <w:rFonts w:ascii="Times New Roman" w:hAnsi="Times New Roman"/>
          <w:sz w:val="28"/>
          <w:szCs w:val="28"/>
        </w:rPr>
        <w:footnoteReference w:id="55"/>
      </w:r>
      <w:r w:rsidR="008C4E6D" w:rsidRPr="00CD542C">
        <w:rPr>
          <w:rFonts w:ascii="Times New Roman" w:hAnsi="Times New Roman"/>
          <w:sz w:val="28"/>
          <w:szCs w:val="28"/>
        </w:rPr>
        <w:t>.</w:t>
      </w:r>
    </w:p>
    <w:p w:rsidR="00FD0D81" w:rsidRPr="00CD542C" w:rsidRDefault="00FD0D81" w:rsidP="00CD542C">
      <w:pPr>
        <w:spacing w:after="0" w:line="240" w:lineRule="auto"/>
        <w:jc w:val="both"/>
        <w:rPr>
          <w:rFonts w:ascii="Times New Roman" w:hAnsi="Times New Roman"/>
          <w:sz w:val="28"/>
          <w:szCs w:val="28"/>
        </w:rPr>
      </w:pPr>
    </w:p>
    <w:p w:rsidR="00EB47D3" w:rsidRPr="00CD542C" w:rsidRDefault="00775213" w:rsidP="00CD542C">
      <w:pPr>
        <w:spacing w:after="0" w:line="240" w:lineRule="auto"/>
        <w:jc w:val="both"/>
        <w:rPr>
          <w:rFonts w:ascii="Times New Roman" w:hAnsi="Times New Roman"/>
          <w:sz w:val="28"/>
          <w:szCs w:val="28"/>
        </w:rPr>
      </w:pPr>
      <w:r w:rsidRPr="00CD542C">
        <w:rPr>
          <w:rFonts w:ascii="Times New Roman" w:hAnsi="Times New Roman"/>
          <w:sz w:val="28"/>
          <w:szCs w:val="28"/>
        </w:rPr>
        <w:t>27</w:t>
      </w:r>
      <w:r w:rsidR="00E56BA6" w:rsidRPr="00CD542C">
        <w:rPr>
          <w:rFonts w:ascii="Times New Roman" w:hAnsi="Times New Roman"/>
          <w:sz w:val="28"/>
          <w:szCs w:val="28"/>
        </w:rPr>
        <w:t xml:space="preserve">. </w:t>
      </w:r>
      <w:r w:rsidR="00EB47D3" w:rsidRPr="00CD542C">
        <w:rPr>
          <w:rFonts w:ascii="Times New Roman" w:hAnsi="Times New Roman"/>
          <w:sz w:val="28"/>
          <w:szCs w:val="28"/>
        </w:rPr>
        <w:t>Específicamente, en relación con la remisión a normas de rango administrativo, esta Corporación</w:t>
      </w:r>
      <w:r w:rsidR="006E1ED8" w:rsidRPr="00CD542C">
        <w:rPr>
          <w:rFonts w:ascii="Times New Roman" w:hAnsi="Times New Roman"/>
          <w:sz w:val="28"/>
          <w:szCs w:val="28"/>
        </w:rPr>
        <w:t xml:space="preserve"> indicó en la </w:t>
      </w:r>
      <w:r w:rsidR="006E1ED8" w:rsidRPr="00CD542C">
        <w:rPr>
          <w:rFonts w:ascii="Times New Roman" w:hAnsi="Times New Roman"/>
          <w:b/>
          <w:bCs/>
          <w:sz w:val="28"/>
          <w:szCs w:val="28"/>
        </w:rPr>
        <w:t>sentencia C-442 de 2011</w:t>
      </w:r>
      <w:r w:rsidR="006E1ED8" w:rsidRPr="00CD542C">
        <w:rPr>
          <w:rStyle w:val="Refdenotaalpie"/>
          <w:rFonts w:ascii="Times New Roman" w:hAnsi="Times New Roman"/>
          <w:sz w:val="28"/>
          <w:szCs w:val="28"/>
        </w:rPr>
        <w:footnoteReference w:id="56"/>
      </w:r>
      <w:r w:rsidR="00EB47D3" w:rsidRPr="00CD542C">
        <w:rPr>
          <w:rFonts w:ascii="Times New Roman" w:hAnsi="Times New Roman"/>
          <w:sz w:val="28"/>
          <w:szCs w:val="28"/>
        </w:rPr>
        <w:t xml:space="preserve"> que</w:t>
      </w:r>
      <w:r w:rsidR="00C975C2" w:rsidRPr="00CD542C">
        <w:rPr>
          <w:rFonts w:ascii="Times New Roman" w:hAnsi="Times New Roman"/>
          <w:sz w:val="28"/>
          <w:szCs w:val="28"/>
        </w:rPr>
        <w:t xml:space="preserve"> para que se respete el principio de legalidad</w:t>
      </w:r>
      <w:r w:rsidR="00E26471" w:rsidRPr="00CD542C">
        <w:rPr>
          <w:rFonts w:ascii="Times New Roman" w:hAnsi="Times New Roman"/>
          <w:sz w:val="28"/>
          <w:szCs w:val="28"/>
        </w:rPr>
        <w:t xml:space="preserve"> se deben cumplir</w:t>
      </w:r>
      <w:r w:rsidR="00EB47D3" w:rsidRPr="00CD542C">
        <w:rPr>
          <w:rFonts w:ascii="Times New Roman" w:hAnsi="Times New Roman"/>
          <w:sz w:val="28"/>
          <w:szCs w:val="28"/>
        </w:rPr>
        <w:t xml:space="preserve"> cuatro requisitos, a saber:</w:t>
      </w:r>
    </w:p>
    <w:p w:rsidR="00B53ED7" w:rsidRPr="00CD542C" w:rsidRDefault="00B53ED7" w:rsidP="00CD542C">
      <w:pPr>
        <w:spacing w:after="0" w:line="240" w:lineRule="auto"/>
        <w:jc w:val="both"/>
        <w:rPr>
          <w:rFonts w:ascii="Times New Roman" w:hAnsi="Times New Roman"/>
          <w:sz w:val="28"/>
          <w:szCs w:val="28"/>
        </w:rPr>
      </w:pPr>
    </w:p>
    <w:p w:rsidR="00EB47D3" w:rsidRPr="00CD542C" w:rsidRDefault="00EB47D3" w:rsidP="00CD542C">
      <w:pPr>
        <w:spacing w:after="0" w:line="240" w:lineRule="auto"/>
        <w:ind w:left="708"/>
        <w:jc w:val="both"/>
        <w:rPr>
          <w:rFonts w:ascii="Times New Roman" w:hAnsi="Times New Roman"/>
          <w:sz w:val="28"/>
          <w:szCs w:val="28"/>
        </w:rPr>
      </w:pPr>
      <w:r w:rsidRPr="00CD542C">
        <w:rPr>
          <w:rFonts w:ascii="Times New Roman" w:hAnsi="Times New Roman"/>
          <w:sz w:val="28"/>
          <w:szCs w:val="28"/>
        </w:rPr>
        <w:t>“</w:t>
      </w:r>
      <w:r w:rsidRPr="00CD542C">
        <w:rPr>
          <w:rFonts w:ascii="Times New Roman" w:hAnsi="Times New Roman"/>
          <w:i/>
          <w:iCs/>
          <w:sz w:val="28"/>
          <w:szCs w:val="28"/>
        </w:rPr>
        <w:t>En primer lugar, la remisión debe ser precisa; en segundo lugar, la norma a la cual se remite debe existir al momento de conformación del tipo penal. En tercer término la norma de complemento debe ser de conocimiento público y, finalmente, debe preservar, como cualquier norma del ordenamiento, los principios y valores constitucionales</w:t>
      </w:r>
      <w:r w:rsidRPr="00CD542C">
        <w:rPr>
          <w:rFonts w:ascii="Times New Roman" w:hAnsi="Times New Roman"/>
          <w:sz w:val="28"/>
          <w:szCs w:val="28"/>
        </w:rPr>
        <w:t>”</w:t>
      </w:r>
      <w:r w:rsidRPr="00CD542C">
        <w:rPr>
          <w:rStyle w:val="Refdenotaalpie"/>
          <w:rFonts w:ascii="Times New Roman" w:hAnsi="Times New Roman"/>
          <w:sz w:val="28"/>
          <w:szCs w:val="28"/>
        </w:rPr>
        <w:footnoteReference w:id="57"/>
      </w:r>
      <w:r w:rsidRPr="00CD542C">
        <w:rPr>
          <w:rFonts w:ascii="Times New Roman" w:hAnsi="Times New Roman"/>
          <w:sz w:val="28"/>
          <w:szCs w:val="28"/>
        </w:rPr>
        <w:t>.</w:t>
      </w:r>
    </w:p>
    <w:p w:rsidR="00E26471" w:rsidRPr="00CD542C" w:rsidRDefault="00E26471" w:rsidP="00CD542C">
      <w:pPr>
        <w:spacing w:after="0" w:line="240" w:lineRule="auto"/>
        <w:jc w:val="both"/>
        <w:rPr>
          <w:rFonts w:ascii="Times New Roman" w:hAnsi="Times New Roman"/>
          <w:sz w:val="28"/>
          <w:szCs w:val="28"/>
        </w:rPr>
      </w:pPr>
    </w:p>
    <w:p w:rsidR="00EB47D3" w:rsidRPr="00CD542C" w:rsidRDefault="006E1ED8" w:rsidP="00CD542C">
      <w:pPr>
        <w:spacing w:after="0" w:line="240" w:lineRule="auto"/>
        <w:jc w:val="both"/>
        <w:rPr>
          <w:rFonts w:ascii="Times New Roman" w:hAnsi="Times New Roman"/>
          <w:sz w:val="28"/>
          <w:szCs w:val="28"/>
        </w:rPr>
      </w:pPr>
      <w:r w:rsidRPr="00CD542C">
        <w:rPr>
          <w:rFonts w:ascii="Times New Roman" w:hAnsi="Times New Roman"/>
          <w:sz w:val="28"/>
          <w:szCs w:val="28"/>
        </w:rPr>
        <w:t>A su vez</w:t>
      </w:r>
      <w:r w:rsidR="00ED5FCE" w:rsidRPr="00CD542C">
        <w:rPr>
          <w:rFonts w:ascii="Times New Roman" w:hAnsi="Times New Roman"/>
          <w:sz w:val="28"/>
          <w:szCs w:val="28"/>
        </w:rPr>
        <w:t>, la Corte ha determinado</w:t>
      </w:r>
      <w:r w:rsidRPr="00CD542C">
        <w:rPr>
          <w:rFonts w:ascii="Times New Roman" w:hAnsi="Times New Roman"/>
          <w:sz w:val="28"/>
          <w:szCs w:val="28"/>
        </w:rPr>
        <w:t xml:space="preserve"> que la pre</w:t>
      </w:r>
      <w:r w:rsidR="00FA4C49" w:rsidRPr="00CD542C">
        <w:rPr>
          <w:rFonts w:ascii="Times New Roman" w:hAnsi="Times New Roman"/>
          <w:sz w:val="28"/>
          <w:szCs w:val="28"/>
        </w:rPr>
        <w:t>cisión de la remisión se refiere a</w:t>
      </w:r>
      <w:r w:rsidRPr="00CD542C">
        <w:rPr>
          <w:rFonts w:ascii="Times New Roman" w:hAnsi="Times New Roman"/>
          <w:sz w:val="28"/>
          <w:szCs w:val="28"/>
        </w:rPr>
        <w:t xml:space="preserve"> la posibilidad de acudir a referentes objetivos y verificables, que </w:t>
      </w:r>
      <w:r w:rsidR="009666D0" w:rsidRPr="00CD542C">
        <w:rPr>
          <w:rFonts w:ascii="Times New Roman" w:hAnsi="Times New Roman"/>
          <w:sz w:val="28"/>
          <w:szCs w:val="28"/>
        </w:rPr>
        <w:t>también deben respetar el principio de legalidad</w:t>
      </w:r>
      <w:r w:rsidRPr="00CD542C">
        <w:rPr>
          <w:rStyle w:val="Refdenotaalpie"/>
          <w:rFonts w:ascii="Times New Roman" w:hAnsi="Times New Roman"/>
          <w:sz w:val="28"/>
          <w:szCs w:val="28"/>
        </w:rPr>
        <w:footnoteReference w:id="58"/>
      </w:r>
      <w:r w:rsidRPr="00CD542C">
        <w:rPr>
          <w:rFonts w:ascii="Times New Roman" w:hAnsi="Times New Roman"/>
          <w:sz w:val="28"/>
          <w:szCs w:val="28"/>
        </w:rPr>
        <w:t xml:space="preserve">. </w:t>
      </w:r>
    </w:p>
    <w:p w:rsidR="005C2504" w:rsidRPr="00CD542C" w:rsidRDefault="005C2504" w:rsidP="00CD542C">
      <w:pPr>
        <w:spacing w:after="0" w:line="240" w:lineRule="auto"/>
        <w:jc w:val="both"/>
        <w:rPr>
          <w:rFonts w:ascii="Times New Roman" w:hAnsi="Times New Roman"/>
          <w:sz w:val="28"/>
          <w:szCs w:val="28"/>
        </w:rPr>
      </w:pPr>
    </w:p>
    <w:p w:rsidR="00EB47D3" w:rsidRPr="00CD542C" w:rsidRDefault="00775213" w:rsidP="00CD542C">
      <w:pPr>
        <w:spacing w:after="0" w:line="240" w:lineRule="auto"/>
        <w:jc w:val="both"/>
        <w:rPr>
          <w:rFonts w:ascii="Times New Roman" w:hAnsi="Times New Roman"/>
          <w:sz w:val="28"/>
          <w:szCs w:val="28"/>
        </w:rPr>
      </w:pPr>
      <w:r w:rsidRPr="00CD542C">
        <w:rPr>
          <w:rFonts w:ascii="Times New Roman" w:hAnsi="Times New Roman"/>
          <w:sz w:val="28"/>
          <w:szCs w:val="28"/>
        </w:rPr>
        <w:lastRenderedPageBreak/>
        <w:t>28</w:t>
      </w:r>
      <w:r w:rsidR="00E56BA6" w:rsidRPr="00CD542C">
        <w:rPr>
          <w:rFonts w:ascii="Times New Roman" w:hAnsi="Times New Roman"/>
          <w:sz w:val="28"/>
          <w:szCs w:val="28"/>
        </w:rPr>
        <w:t xml:space="preserve">. </w:t>
      </w:r>
      <w:r w:rsidR="00ED5FCE" w:rsidRPr="00CD542C">
        <w:rPr>
          <w:rFonts w:ascii="Times New Roman" w:hAnsi="Times New Roman"/>
          <w:sz w:val="28"/>
          <w:szCs w:val="28"/>
        </w:rPr>
        <w:t xml:space="preserve">En conclusión, </w:t>
      </w:r>
      <w:r w:rsidR="00AB343F" w:rsidRPr="00CD542C">
        <w:rPr>
          <w:rFonts w:ascii="Times New Roman" w:hAnsi="Times New Roman"/>
          <w:sz w:val="28"/>
          <w:szCs w:val="28"/>
        </w:rPr>
        <w:t xml:space="preserve">esta Corporación ha determinado que </w:t>
      </w:r>
      <w:r w:rsidR="00ED5FCE" w:rsidRPr="00CD542C">
        <w:rPr>
          <w:rFonts w:ascii="Times New Roman" w:hAnsi="Times New Roman"/>
          <w:sz w:val="28"/>
          <w:szCs w:val="28"/>
        </w:rPr>
        <w:t xml:space="preserve">los tipos penales en blanco </w:t>
      </w:r>
      <w:r w:rsidR="00AB343F" w:rsidRPr="00CD542C">
        <w:rPr>
          <w:rFonts w:ascii="Times New Roman" w:hAnsi="Times New Roman"/>
          <w:sz w:val="28"/>
          <w:szCs w:val="28"/>
        </w:rPr>
        <w:t xml:space="preserve">no violan </w:t>
      </w:r>
      <w:r w:rsidR="00C975C2" w:rsidRPr="00CD542C">
        <w:rPr>
          <w:rFonts w:ascii="Times New Roman" w:hAnsi="Times New Roman"/>
          <w:sz w:val="28"/>
          <w:szCs w:val="28"/>
        </w:rPr>
        <w:t xml:space="preserve">el </w:t>
      </w:r>
      <w:r w:rsidR="00ED5FCE" w:rsidRPr="00CD542C">
        <w:rPr>
          <w:rFonts w:ascii="Times New Roman" w:hAnsi="Times New Roman"/>
          <w:sz w:val="28"/>
          <w:szCs w:val="28"/>
        </w:rPr>
        <w:t>principio de legalidad siempre que de forma clara</w:t>
      </w:r>
      <w:r w:rsidR="0007629F" w:rsidRPr="00CD542C">
        <w:rPr>
          <w:rFonts w:ascii="Times New Roman" w:hAnsi="Times New Roman"/>
          <w:sz w:val="28"/>
          <w:szCs w:val="28"/>
        </w:rPr>
        <w:t>, previa</w:t>
      </w:r>
      <w:r w:rsidR="00ED5FCE" w:rsidRPr="00CD542C">
        <w:rPr>
          <w:rFonts w:ascii="Times New Roman" w:hAnsi="Times New Roman"/>
          <w:sz w:val="28"/>
          <w:szCs w:val="28"/>
        </w:rPr>
        <w:t xml:space="preserve"> e inequívoca se describa la</w:t>
      </w:r>
      <w:r w:rsidR="000C008F" w:rsidRPr="00CD542C">
        <w:rPr>
          <w:rFonts w:ascii="Times New Roman" w:hAnsi="Times New Roman"/>
          <w:sz w:val="28"/>
          <w:szCs w:val="28"/>
        </w:rPr>
        <w:t xml:space="preserve"> conducta reprochada. </w:t>
      </w:r>
      <w:r w:rsidR="005B0C7C" w:rsidRPr="00CD542C">
        <w:rPr>
          <w:rFonts w:ascii="Times New Roman" w:hAnsi="Times New Roman"/>
          <w:sz w:val="28"/>
          <w:szCs w:val="28"/>
        </w:rPr>
        <w:t>Entonces</w:t>
      </w:r>
      <w:r w:rsidR="00AB343F" w:rsidRPr="00CD542C">
        <w:rPr>
          <w:rFonts w:ascii="Times New Roman" w:hAnsi="Times New Roman"/>
          <w:sz w:val="28"/>
          <w:szCs w:val="28"/>
        </w:rPr>
        <w:t>, l</w:t>
      </w:r>
      <w:r w:rsidR="000C008F" w:rsidRPr="00CD542C">
        <w:rPr>
          <w:rFonts w:ascii="Times New Roman" w:hAnsi="Times New Roman"/>
          <w:sz w:val="28"/>
          <w:szCs w:val="28"/>
        </w:rPr>
        <w:t>a claridad y la certeza de la descripción típica admite que se haga referencia a otras normas de distinto rango legal</w:t>
      </w:r>
      <w:r w:rsidR="00503BAD" w:rsidRPr="00CD542C">
        <w:rPr>
          <w:rFonts w:ascii="Times New Roman" w:hAnsi="Times New Roman"/>
          <w:sz w:val="28"/>
          <w:szCs w:val="28"/>
        </w:rPr>
        <w:t xml:space="preserve"> mientras que éstas sean determinables. Así, la norma que completa el tipo penal puede no haber sido expedida, pero debe existir al momento de la confirmación del tipo y la remisión a no</w:t>
      </w:r>
      <w:r w:rsidR="005B0C7C" w:rsidRPr="00CD542C">
        <w:rPr>
          <w:rFonts w:ascii="Times New Roman" w:hAnsi="Times New Roman"/>
          <w:sz w:val="28"/>
          <w:szCs w:val="28"/>
        </w:rPr>
        <w:t>rmas de inferior jerarquía debe</w:t>
      </w:r>
      <w:r w:rsidR="00503BAD" w:rsidRPr="00CD542C">
        <w:rPr>
          <w:rFonts w:ascii="Times New Roman" w:hAnsi="Times New Roman"/>
          <w:sz w:val="28"/>
          <w:szCs w:val="28"/>
        </w:rPr>
        <w:t xml:space="preserve"> cumplir con los principios de claridad, precisión, generalidad y publicidad, además de estar acordes con los principios y valores constitucionales.  </w:t>
      </w:r>
    </w:p>
    <w:p w:rsidR="00E60C8C" w:rsidRPr="00CD542C" w:rsidRDefault="00E60C8C" w:rsidP="00CD542C">
      <w:pPr>
        <w:spacing w:after="0" w:line="240" w:lineRule="auto"/>
        <w:jc w:val="both"/>
        <w:rPr>
          <w:rFonts w:ascii="Times New Roman" w:hAnsi="Times New Roman"/>
          <w:sz w:val="28"/>
          <w:szCs w:val="28"/>
        </w:rPr>
      </w:pPr>
    </w:p>
    <w:p w:rsidR="00E60C8C" w:rsidRPr="00CD542C" w:rsidRDefault="00E60C8C" w:rsidP="00CD542C">
      <w:pPr>
        <w:spacing w:after="0" w:line="240" w:lineRule="auto"/>
        <w:jc w:val="both"/>
        <w:rPr>
          <w:rFonts w:ascii="Times New Roman" w:hAnsi="Times New Roman"/>
          <w:b/>
          <w:bCs/>
          <w:sz w:val="28"/>
          <w:szCs w:val="28"/>
        </w:rPr>
      </w:pPr>
      <w:r w:rsidRPr="00CD542C">
        <w:rPr>
          <w:rFonts w:ascii="Times New Roman" w:hAnsi="Times New Roman"/>
          <w:b/>
          <w:bCs/>
          <w:sz w:val="28"/>
          <w:szCs w:val="28"/>
        </w:rPr>
        <w:t xml:space="preserve">El derecho de las mujeres a estar libres de violencia y los correlativos deberes para el Estado </w:t>
      </w:r>
    </w:p>
    <w:p w:rsidR="00E60C8C" w:rsidRPr="00CD542C" w:rsidRDefault="00E60C8C" w:rsidP="00CD542C">
      <w:pPr>
        <w:spacing w:after="0" w:line="240" w:lineRule="auto"/>
        <w:jc w:val="both"/>
        <w:rPr>
          <w:rFonts w:ascii="Times New Roman" w:hAnsi="Times New Roman"/>
          <w:b/>
          <w:bCs/>
          <w:sz w:val="28"/>
          <w:szCs w:val="28"/>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rPr>
        <w:t xml:space="preserve">29. La Constitución de 1991 reconoce explícitamente una protección especial a la mujer en sus artículos 40, 43 y 53 en razón a la discriminación histórica que ésta ha sufrido en las diferentes esferas sociales. Así, determina una garantía </w:t>
      </w:r>
      <w:r w:rsidRPr="00CD542C">
        <w:rPr>
          <w:rFonts w:ascii="Times New Roman" w:hAnsi="Times New Roman"/>
          <w:sz w:val="28"/>
          <w:szCs w:val="28"/>
          <w:lang w:val="es-CO"/>
        </w:rPr>
        <w:t>de adecuada y efectiva participación en los niveles decisorios de la administración pública, una prohibición de la discriminación y una protección especial durante y después del parto, así como en el ámbito laboral. De otra parte, el artículo 42 establece la protección especial a la familia y proscribe cualquier forma de violencia en su núcleo. Si bien la norma no menciona explícitamente a la mujer, la jurisprudencia ha entendido que el derecho a la igualdad, que impone la salvaguarda reforzada de los sujetos en condición de vulnerabilidad</w:t>
      </w:r>
      <w:r w:rsidRPr="00CD542C">
        <w:rPr>
          <w:rFonts w:ascii="Times New Roman" w:hAnsi="Times New Roman"/>
          <w:sz w:val="28"/>
          <w:szCs w:val="28"/>
          <w:vertAlign w:val="superscript"/>
          <w:lang w:val="es-CO"/>
        </w:rPr>
        <w:footnoteReference w:id="59"/>
      </w:r>
      <w:r w:rsidRPr="00CD542C">
        <w:rPr>
          <w:rFonts w:ascii="Times New Roman" w:hAnsi="Times New Roman"/>
          <w:sz w:val="28"/>
          <w:szCs w:val="28"/>
          <w:lang w:val="es-CO"/>
        </w:rPr>
        <w:t xml:space="preserve">, efectivamente establece para mujeres, niñas y niños </w:t>
      </w:r>
      <w:r w:rsidR="000257E4" w:rsidRPr="00CD542C">
        <w:rPr>
          <w:rFonts w:ascii="Times New Roman" w:hAnsi="Times New Roman"/>
          <w:sz w:val="28"/>
          <w:szCs w:val="28"/>
          <w:lang w:val="es-CO"/>
        </w:rPr>
        <w:t xml:space="preserve">una protección especial frente a </w:t>
      </w:r>
      <w:r w:rsidRPr="00CD542C">
        <w:rPr>
          <w:rFonts w:ascii="Times New Roman" w:hAnsi="Times New Roman"/>
          <w:sz w:val="28"/>
          <w:szCs w:val="28"/>
          <w:lang w:val="es-CO"/>
        </w:rPr>
        <w:t xml:space="preserve">la violencia intrafamiliar en cualquiera de sus formas.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iCs/>
          <w:sz w:val="28"/>
          <w:szCs w:val="28"/>
          <w:lang w:val="es-CO"/>
        </w:rPr>
      </w:pPr>
      <w:r w:rsidRPr="00CD542C">
        <w:rPr>
          <w:rFonts w:ascii="Times New Roman" w:hAnsi="Times New Roman"/>
          <w:sz w:val="28"/>
          <w:szCs w:val="28"/>
          <w:lang w:val="es-CO"/>
        </w:rPr>
        <w:lastRenderedPageBreak/>
        <w:t xml:space="preserve">30. Así mismo, la Constitución Política reconoce la seguridad personal como un valor, un derecho colectivo y un derecho fundamental. Como valor, consignado en el Preámbulo de la Constitución, es esencial al orden público y </w:t>
      </w:r>
      <w:r w:rsidRPr="00CD542C">
        <w:rPr>
          <w:rFonts w:ascii="Times New Roman" w:hAnsi="Times New Roman"/>
          <w:i/>
          <w:sz w:val="28"/>
          <w:szCs w:val="28"/>
        </w:rPr>
        <w:t>“garantía de las condiciones necesarias para el ejercicio de todos los derechos y libertades fundamentales por parte de las personas que habitan el territorio nacional”</w:t>
      </w:r>
      <w:r w:rsidRPr="00CD542C">
        <w:rPr>
          <w:rFonts w:ascii="Times New Roman" w:hAnsi="Times New Roman"/>
          <w:sz w:val="28"/>
          <w:szCs w:val="28"/>
          <w:vertAlign w:val="superscript"/>
        </w:rPr>
        <w:footnoteReference w:id="60"/>
      </w:r>
      <w:r w:rsidRPr="00CD542C">
        <w:rPr>
          <w:rFonts w:ascii="Times New Roman" w:hAnsi="Times New Roman"/>
          <w:i/>
          <w:sz w:val="28"/>
          <w:szCs w:val="28"/>
        </w:rPr>
        <w:t xml:space="preserve">. </w:t>
      </w:r>
      <w:r w:rsidRPr="00CD542C">
        <w:rPr>
          <w:rFonts w:ascii="Times New Roman" w:hAnsi="Times New Roman"/>
          <w:iCs/>
          <w:sz w:val="28"/>
          <w:szCs w:val="28"/>
        </w:rPr>
        <w:t>Como derecho colectivo, le asiste a toda la comunidad y como derecho fundamental implica el derecho a ser protegido de riesgos y amenazas que una persona no está en el deber de soportar, lo cual no sólo se circunscribe al ámbito de la libertad individual, sino también a la vida y a la integridad personal</w:t>
      </w:r>
      <w:r w:rsidRPr="00CD542C">
        <w:rPr>
          <w:rFonts w:ascii="Times New Roman" w:hAnsi="Times New Roman"/>
          <w:iCs/>
          <w:sz w:val="28"/>
          <w:szCs w:val="28"/>
          <w:vertAlign w:val="superscript"/>
        </w:rPr>
        <w:footnoteReference w:id="61"/>
      </w:r>
      <w:r w:rsidRPr="00CD542C">
        <w:rPr>
          <w:rFonts w:ascii="Times New Roman" w:hAnsi="Times New Roman"/>
          <w:iCs/>
          <w:sz w:val="28"/>
          <w:szCs w:val="28"/>
        </w:rPr>
        <w:t>.</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Así, las diferentes dimensiones del derecho a la seguridad personal</w:t>
      </w:r>
      <w:r w:rsidRPr="00CD542C">
        <w:rPr>
          <w:rFonts w:ascii="Times New Roman" w:hAnsi="Times New Roman"/>
          <w:sz w:val="28"/>
          <w:szCs w:val="28"/>
          <w:vertAlign w:val="superscript"/>
          <w:lang w:val="es-CO"/>
        </w:rPr>
        <w:footnoteReference w:id="62"/>
      </w:r>
      <w:r w:rsidRPr="00CD542C">
        <w:rPr>
          <w:rFonts w:ascii="Times New Roman" w:hAnsi="Times New Roman"/>
          <w:sz w:val="28"/>
          <w:szCs w:val="28"/>
          <w:lang w:val="es-CO"/>
        </w:rPr>
        <w:t>, tales como las reconocidas en el artículo 2 de la Carta Superior, que establece el deber de protección de la vida, honra, bienes, creencias y demás derechos y libertades de las personas, y en los artículos 11 y 12, en relación con el derecho a la vida y a estar libre de tratos crueles inhumanos y degradantes, son fundamento del derecho de las mujeres a estar libres de violencia. Una lectura sistemática de estas disposiciones con la garantía constitucional que prohíbe la discriminación contra la mujer y la cláusula de igualdad, supone una prohibición de todo tipo de violencia contra la mujer como una forma de discriminación</w:t>
      </w:r>
      <w:r w:rsidRPr="00CD542C">
        <w:rPr>
          <w:rFonts w:ascii="Times New Roman" w:hAnsi="Times New Roman"/>
          <w:sz w:val="28"/>
          <w:szCs w:val="28"/>
          <w:vertAlign w:val="superscript"/>
          <w:lang w:val="es-CO"/>
        </w:rPr>
        <w:footnoteReference w:id="63"/>
      </w:r>
      <w:r w:rsidRPr="00CD542C">
        <w:rPr>
          <w:rFonts w:ascii="Times New Roman" w:hAnsi="Times New Roman"/>
          <w:sz w:val="28"/>
          <w:szCs w:val="28"/>
          <w:lang w:val="es-CO"/>
        </w:rPr>
        <w:t xml:space="preserve">.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31. La violencia contra la mujer se fundamenta en prejuicios y estereotipos de género. Éstos, a su vez, se desprenden del lugar histórico que la mujer ha cumplido en la sociedad, generalmente ligado a su función reproductiva y a labores domésticas como la limpieza y la crianza. Este condicionamiento de la mujer a ciertos espacios no sólo ha sido social, sino también legal. Así, tradicionalmente el rol que le correspondía a la mujer la excluía de la participación en espacios públicos, del estudio y el trabajo y de la posibilidad de ejercer derechos políticos, lo cual la ha situado en una posición de </w:t>
      </w:r>
      <w:r w:rsidRPr="00CD542C">
        <w:rPr>
          <w:rFonts w:ascii="Times New Roman" w:hAnsi="Times New Roman"/>
          <w:sz w:val="28"/>
          <w:szCs w:val="28"/>
          <w:lang w:val="es-CO"/>
        </w:rPr>
        <w:lastRenderedPageBreak/>
        <w:t>inferioridad frente al hombre, reforzado por la dependencia socioeconómica</w:t>
      </w:r>
      <w:r w:rsidRPr="00CD542C">
        <w:rPr>
          <w:rFonts w:ascii="Times New Roman" w:hAnsi="Times New Roman"/>
          <w:sz w:val="28"/>
          <w:szCs w:val="28"/>
          <w:vertAlign w:val="superscript"/>
          <w:lang w:val="es-CO"/>
        </w:rPr>
        <w:footnoteReference w:id="64"/>
      </w:r>
      <w:r w:rsidRPr="00CD542C">
        <w:rPr>
          <w:rFonts w:ascii="Times New Roman" w:hAnsi="Times New Roman"/>
          <w:sz w:val="28"/>
          <w:szCs w:val="28"/>
          <w:lang w:val="es-CO"/>
        </w:rPr>
        <w:t xml:space="preserve">. Si bien se han dado cambios estructurales que han permitido un mayor acceso a estos espacios, esta dinámica no ha desaparecido, y en algunos casos marca las relaciones familiares con el fin de que la mujer cumpla un rol servicial frente al hombre. Esta asimetría en las relaciones genera presunciones sobre la mujer, como que es propiedad del hombre, lo cual puede desencadenar prohibiciones de conducta y violencia física y psicológica, con un mayor impacto en las mujeres en una condición socioeconómica precaria. Por lo tanto, la violencia de género responde a una situación estructural, en la medida en que busca perpetrar un orden social previamente establecido a partir de relaciones disímiles.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Por muchos años esta desigualdad estructural fue tolerada y aceptada bajo la presunción de que lo que sucedía en el ámbito privado escapaba la intervención estatal</w:t>
      </w:r>
      <w:r w:rsidRPr="00CD542C">
        <w:rPr>
          <w:rFonts w:ascii="Times New Roman" w:hAnsi="Times New Roman"/>
          <w:sz w:val="28"/>
          <w:szCs w:val="28"/>
          <w:vertAlign w:val="superscript"/>
          <w:lang w:val="es-CO"/>
        </w:rPr>
        <w:footnoteReference w:id="65"/>
      </w:r>
      <w:r w:rsidRPr="00CD542C">
        <w:rPr>
          <w:rFonts w:ascii="Times New Roman" w:hAnsi="Times New Roman"/>
          <w:sz w:val="28"/>
          <w:szCs w:val="28"/>
          <w:lang w:val="es-CO"/>
        </w:rPr>
        <w:t xml:space="preserve"> y de que estos roles y dinámicas eran apropiados. No obstante, las protecciones constitucionales vigentes han abandonado radicalmente esa postura para identificar claramente esos tratos como discriminatorios y como una violación de los derechos de las mujeres</w:t>
      </w:r>
      <w:r w:rsidRPr="00CD542C">
        <w:rPr>
          <w:rFonts w:ascii="Times New Roman" w:hAnsi="Times New Roman"/>
          <w:sz w:val="28"/>
          <w:szCs w:val="28"/>
          <w:vertAlign w:val="superscript"/>
          <w:lang w:val="es-CO"/>
        </w:rPr>
        <w:footnoteReference w:id="66"/>
      </w:r>
      <w:r w:rsidRPr="00CD542C">
        <w:rPr>
          <w:rFonts w:ascii="Times New Roman" w:hAnsi="Times New Roman"/>
          <w:sz w:val="28"/>
          <w:szCs w:val="28"/>
          <w:lang w:val="es-CO"/>
        </w:rPr>
        <w:t>. Este contexto es el fundamento de la adopción de medidas que compensen esta situación, como los mandatos constitucionales que refuerzan la protección de la mujer, con el objetivo de garantizar su igualdad material.</w:t>
      </w:r>
      <w:r w:rsidR="00EB4E52" w:rsidRPr="00CD542C">
        <w:rPr>
          <w:rFonts w:ascii="Times New Roman" w:hAnsi="Times New Roman"/>
          <w:sz w:val="28"/>
          <w:szCs w:val="28"/>
          <w:lang w:val="es-CO"/>
        </w:rPr>
        <w:t xml:space="preserve"> No obstante, el derecho, en general, ha sido determinado desde una perspectiva masculina, lo cual indudablemente tiene repercusiones vigentes en nuestro sistema legal.</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A pesar de este marco constitucional, estas presunciones y estereotipos negativos de género aun permean la sociedad y la violencia contra la mujer es recurrente y sistemática. Por lo tanto, es innegable que este tipo de violencia, como una forma de dominación y un obstáculo para el ejercicio de los derechos fundamentales, es también una forma de discriminación. Así, la violencia y la discriminación de género tienen un origen social, lo cual se traduce en el deber para los Estados de adoptar diferentes medidas para prevenirla y proteger a las mujeres de este fenómeno. Estas obligaciones han sido delimitadas </w:t>
      </w:r>
      <w:r w:rsidRPr="00CD542C">
        <w:rPr>
          <w:rFonts w:ascii="Times New Roman" w:hAnsi="Times New Roman"/>
          <w:i/>
          <w:iCs/>
          <w:sz w:val="28"/>
          <w:szCs w:val="28"/>
          <w:lang w:val="es-CO"/>
        </w:rPr>
        <w:t>in extenso</w:t>
      </w:r>
      <w:r w:rsidRPr="00CD542C">
        <w:rPr>
          <w:rFonts w:ascii="Times New Roman" w:hAnsi="Times New Roman"/>
          <w:sz w:val="28"/>
          <w:szCs w:val="28"/>
          <w:lang w:val="es-CO"/>
        </w:rPr>
        <w:t xml:space="preserve"> en el derecho internacional de los derechos humanos, a partir de provisiones que hacen parte del bloque de constitucionalidad.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32. En el derecho internacional de los derechos humanos, la obligación de garantizar el derecho de las mujeres a estar libres de violencia tiene dos fuentes. De un lado, surge de la lectura sistemática de las disposiciones neutras que proscriben la violencia y reconocen los deberes de protección a la vida, la seguridad personal, la integridad, la honra, la salud y la dignidad de </w:t>
      </w:r>
      <w:r w:rsidRPr="00CD542C">
        <w:rPr>
          <w:rFonts w:ascii="Times New Roman" w:hAnsi="Times New Roman"/>
          <w:sz w:val="28"/>
          <w:szCs w:val="28"/>
          <w:lang w:val="es-CO"/>
        </w:rPr>
        <w:lastRenderedPageBreak/>
        <w:t>las personas, entre otros</w:t>
      </w:r>
      <w:r w:rsidRPr="00CD542C">
        <w:rPr>
          <w:rFonts w:ascii="Times New Roman" w:hAnsi="Times New Roman"/>
          <w:sz w:val="28"/>
          <w:szCs w:val="28"/>
          <w:vertAlign w:val="superscript"/>
          <w:lang w:val="es-CO"/>
        </w:rPr>
        <w:footnoteReference w:id="67"/>
      </w:r>
      <w:r w:rsidRPr="00CD542C">
        <w:rPr>
          <w:rFonts w:ascii="Times New Roman" w:hAnsi="Times New Roman"/>
          <w:sz w:val="28"/>
          <w:szCs w:val="28"/>
          <w:lang w:val="es-CO"/>
        </w:rPr>
        <w:t>, con aquellas normas que establecen: (i) el derecho a la igualdad en el reconocimiento y protección de esos derechos; y (ii) la prohibición de discriminación</w:t>
      </w:r>
      <w:r w:rsidR="000257E4" w:rsidRPr="00CD542C">
        <w:rPr>
          <w:rFonts w:ascii="Times New Roman" w:hAnsi="Times New Roman"/>
          <w:sz w:val="28"/>
          <w:szCs w:val="28"/>
          <w:lang w:val="es-CO"/>
        </w:rPr>
        <w:t xml:space="preserve"> por</w:t>
      </w:r>
      <w:r w:rsidRPr="00CD542C">
        <w:rPr>
          <w:rFonts w:ascii="Times New Roman" w:hAnsi="Times New Roman"/>
          <w:sz w:val="28"/>
          <w:szCs w:val="28"/>
          <w:lang w:val="es-CO"/>
        </w:rPr>
        <w:t xml:space="preserve"> razón del sexo, pues imponen un deber de protección especial </w:t>
      </w:r>
      <w:r w:rsidR="000257E4" w:rsidRPr="00CD542C">
        <w:rPr>
          <w:rFonts w:ascii="Times New Roman" w:hAnsi="Times New Roman"/>
          <w:sz w:val="28"/>
          <w:szCs w:val="28"/>
          <w:lang w:val="es-CO"/>
        </w:rPr>
        <w:t>por</w:t>
      </w:r>
      <w:r w:rsidRPr="00CD542C">
        <w:rPr>
          <w:rFonts w:ascii="Times New Roman" w:hAnsi="Times New Roman"/>
          <w:sz w:val="28"/>
          <w:szCs w:val="28"/>
          <w:lang w:val="es-CO"/>
        </w:rPr>
        <w:t xml:space="preserve"> razón al género</w:t>
      </w:r>
      <w:r w:rsidRPr="00CD542C">
        <w:rPr>
          <w:rFonts w:ascii="Times New Roman" w:hAnsi="Times New Roman"/>
          <w:sz w:val="28"/>
          <w:szCs w:val="28"/>
          <w:vertAlign w:val="superscript"/>
          <w:lang w:val="es-CO"/>
        </w:rPr>
        <w:footnoteReference w:id="68"/>
      </w:r>
      <w:r w:rsidRPr="00CD542C">
        <w:rPr>
          <w:rFonts w:ascii="Times New Roman" w:hAnsi="Times New Roman"/>
          <w:sz w:val="28"/>
          <w:szCs w:val="28"/>
          <w:lang w:val="es-CO"/>
        </w:rPr>
        <w:t xml:space="preserve">. De otro lado, surge de las disposiciones que explícitamente consagran protecciones y deberes alrededor de la erradicación de la discriminación contra de la mujer y de la prevención, investigación y sanción de la violencia contra ésta.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A05E58"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33. </w:t>
      </w:r>
      <w:r w:rsidR="00E60C8C" w:rsidRPr="00CD542C">
        <w:rPr>
          <w:rFonts w:ascii="Times New Roman" w:hAnsi="Times New Roman"/>
          <w:sz w:val="28"/>
          <w:szCs w:val="28"/>
          <w:lang w:val="es-CO"/>
        </w:rPr>
        <w:t>De conformidad con la Convención Interamericana para Prevenir la Violencia contra la Mujer (Convención de Belém do Pará) la violencia contra la mujer comprende “</w:t>
      </w:r>
      <w:r w:rsidR="00E60C8C" w:rsidRPr="00CD542C">
        <w:rPr>
          <w:rFonts w:ascii="Times New Roman" w:hAnsi="Times New Roman"/>
          <w:i/>
          <w:iCs/>
          <w:sz w:val="28"/>
          <w:szCs w:val="28"/>
          <w:lang w:val="es-CO"/>
        </w:rPr>
        <w:t>cualquier acción o conducta, basada en su género, que cause muerte, daño o sufrimiento físico, sexual o psicológico a la mujer, tanto en el ámbito público como en el privado</w:t>
      </w:r>
      <w:r w:rsidR="00E60C8C" w:rsidRPr="00CD542C">
        <w:rPr>
          <w:rFonts w:ascii="Times New Roman" w:hAnsi="Times New Roman"/>
          <w:sz w:val="28"/>
          <w:szCs w:val="28"/>
          <w:lang w:val="es-CO"/>
        </w:rPr>
        <w:t>”</w:t>
      </w:r>
      <w:r w:rsidR="00E60C8C" w:rsidRPr="00CD542C">
        <w:rPr>
          <w:rFonts w:ascii="Times New Roman" w:hAnsi="Times New Roman"/>
          <w:sz w:val="28"/>
          <w:szCs w:val="28"/>
          <w:vertAlign w:val="superscript"/>
          <w:lang w:val="es-CO"/>
        </w:rPr>
        <w:footnoteReference w:id="69"/>
      </w:r>
      <w:r w:rsidR="00E60C8C" w:rsidRPr="00CD542C">
        <w:rPr>
          <w:rFonts w:ascii="Times New Roman" w:hAnsi="Times New Roman"/>
          <w:sz w:val="28"/>
          <w:szCs w:val="28"/>
          <w:lang w:val="es-CO"/>
        </w:rPr>
        <w:t>. A su vez, la Convención reconoce el derecho de las mujeres a estar libres de violencia</w:t>
      </w:r>
      <w:r w:rsidR="00E60C8C" w:rsidRPr="00CD542C">
        <w:rPr>
          <w:rFonts w:ascii="Times New Roman" w:hAnsi="Times New Roman"/>
          <w:sz w:val="28"/>
          <w:szCs w:val="28"/>
          <w:vertAlign w:val="superscript"/>
          <w:lang w:val="es-CO"/>
        </w:rPr>
        <w:footnoteReference w:id="70"/>
      </w:r>
      <w:r w:rsidR="00E60C8C" w:rsidRPr="00CD542C">
        <w:rPr>
          <w:rFonts w:ascii="Times New Roman" w:hAnsi="Times New Roman"/>
          <w:sz w:val="28"/>
          <w:szCs w:val="28"/>
          <w:lang w:val="es-CO"/>
        </w:rPr>
        <w:t xml:space="preserve"> y sostiene que la violencia de género además de ser una violación a derechos como la dignidad, la integridad psíquica y física también impide y anula el goce y ejercicio de otros derechos fundamentales</w:t>
      </w:r>
      <w:r w:rsidR="00E60C8C" w:rsidRPr="00CD542C">
        <w:rPr>
          <w:rFonts w:ascii="Times New Roman" w:hAnsi="Times New Roman"/>
          <w:sz w:val="28"/>
          <w:szCs w:val="28"/>
          <w:vertAlign w:val="superscript"/>
          <w:lang w:val="es-CO"/>
        </w:rPr>
        <w:footnoteReference w:id="71"/>
      </w:r>
      <w:r w:rsidR="00E60C8C" w:rsidRPr="00CD542C">
        <w:rPr>
          <w:rFonts w:ascii="Times New Roman" w:hAnsi="Times New Roman"/>
          <w:sz w:val="28"/>
          <w:szCs w:val="28"/>
          <w:lang w:val="es-CO"/>
        </w:rPr>
        <w:t>. Así, en su artículo 7 establece el deber para los Estados de “</w:t>
      </w:r>
      <w:r w:rsidR="00E60C8C" w:rsidRPr="00CD542C">
        <w:rPr>
          <w:rFonts w:ascii="Times New Roman" w:hAnsi="Times New Roman"/>
          <w:i/>
          <w:iCs/>
          <w:sz w:val="28"/>
          <w:szCs w:val="28"/>
          <w:lang w:val="es-CO"/>
        </w:rPr>
        <w:t>incluir en su legislación interna normas penales, civiles y administrativas, así como las de otra naturaleza que sean necesarias para prevenir, sancionar y erradicar la violencia contra la mujer y adoptar las medidas administrativas apropiadas que sean del caso</w:t>
      </w:r>
      <w:r w:rsidR="00E60C8C" w:rsidRPr="00CD542C">
        <w:rPr>
          <w:rFonts w:ascii="Times New Roman" w:hAnsi="Times New Roman"/>
          <w:sz w:val="28"/>
          <w:szCs w:val="28"/>
          <w:lang w:val="es-CO"/>
        </w:rPr>
        <w:t>”</w:t>
      </w:r>
      <w:r w:rsidR="00E60C8C" w:rsidRPr="00CD542C">
        <w:rPr>
          <w:rFonts w:ascii="Times New Roman" w:hAnsi="Times New Roman"/>
          <w:sz w:val="28"/>
          <w:szCs w:val="28"/>
          <w:vertAlign w:val="superscript"/>
          <w:lang w:val="es-CO"/>
        </w:rPr>
        <w:footnoteReference w:id="72"/>
      </w:r>
      <w:r w:rsidR="00E60C8C" w:rsidRPr="00CD542C">
        <w:rPr>
          <w:rFonts w:ascii="Times New Roman" w:hAnsi="Times New Roman"/>
          <w:sz w:val="28"/>
          <w:szCs w:val="28"/>
          <w:lang w:val="es-CO"/>
        </w:rPr>
        <w:t>. Igualmente, en su artículo 8 dispone el deber de adoptar medidas sociales, culturales y educativas, entre otras, para la prevención de la violencia contra la mujer y el cambio de los patrones socioculturales que la subyacen</w:t>
      </w:r>
      <w:r w:rsidR="00E60C8C" w:rsidRPr="00CD542C">
        <w:rPr>
          <w:rFonts w:ascii="Times New Roman" w:hAnsi="Times New Roman"/>
          <w:sz w:val="28"/>
          <w:szCs w:val="28"/>
          <w:vertAlign w:val="superscript"/>
          <w:lang w:val="es-CO"/>
        </w:rPr>
        <w:footnoteReference w:id="73"/>
      </w:r>
      <w:r w:rsidR="00E60C8C" w:rsidRPr="00CD542C">
        <w:rPr>
          <w:rFonts w:ascii="Times New Roman" w:hAnsi="Times New Roman"/>
          <w:sz w:val="28"/>
          <w:szCs w:val="28"/>
          <w:lang w:val="es-CO"/>
        </w:rPr>
        <w:t xml:space="preserve">. Adicionalmente, el </w:t>
      </w:r>
      <w:r w:rsidR="00E60C8C" w:rsidRPr="00CD542C">
        <w:rPr>
          <w:rFonts w:ascii="Times New Roman" w:hAnsi="Times New Roman"/>
          <w:sz w:val="28"/>
          <w:szCs w:val="28"/>
          <w:lang w:val="es-CO"/>
        </w:rPr>
        <w:lastRenderedPageBreak/>
        <w:t xml:space="preserve">artículo 9 obliga a adoptar un enfoque diferencial para las mujeres que hacen parte de grupos vulnerables.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A05E58"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34. </w:t>
      </w:r>
      <w:r w:rsidR="00E60C8C" w:rsidRPr="00CD542C">
        <w:rPr>
          <w:rFonts w:ascii="Times New Roman" w:hAnsi="Times New Roman"/>
          <w:sz w:val="28"/>
          <w:szCs w:val="28"/>
          <w:lang w:val="es-CO"/>
        </w:rPr>
        <w:t>De otra parte, la Convención para la Eliminación de Todas las Formas de Discriminación contra la Mujer (CEDAW), en su Preámbulo, establece que la discriminación contra la mujer viola los principios de igualdad y dignidad y en su articulado establece deberes positivos para los Estados para eliminar y prevenir la discriminación contra la mujer. En relación con la discriminación y la violencia, es particularmente relevante la Recomendación General No. 19 del Comité de la CEDAW, que establece que la “</w:t>
      </w:r>
      <w:r w:rsidR="00E60C8C" w:rsidRPr="00CD542C">
        <w:rPr>
          <w:rFonts w:ascii="Times New Roman" w:hAnsi="Times New Roman"/>
          <w:i/>
          <w:iCs/>
          <w:sz w:val="28"/>
          <w:szCs w:val="28"/>
          <w:lang w:val="es-CO"/>
        </w:rPr>
        <w:t>violencia contra la mujer es una forma de discriminación</w:t>
      </w:r>
      <w:r w:rsidR="00E60C8C" w:rsidRPr="00CD542C">
        <w:rPr>
          <w:rFonts w:ascii="Times New Roman" w:hAnsi="Times New Roman"/>
          <w:sz w:val="28"/>
          <w:szCs w:val="28"/>
          <w:lang w:val="es-CO"/>
        </w:rPr>
        <w:t>”</w:t>
      </w:r>
      <w:r w:rsidR="00E60C8C" w:rsidRPr="00CD542C">
        <w:rPr>
          <w:rFonts w:ascii="Times New Roman" w:hAnsi="Times New Roman"/>
          <w:sz w:val="28"/>
          <w:szCs w:val="28"/>
          <w:vertAlign w:val="superscript"/>
          <w:lang w:val="es-CO"/>
        </w:rPr>
        <w:footnoteReference w:id="74"/>
      </w:r>
      <w:r w:rsidR="00E60C8C" w:rsidRPr="00CD542C">
        <w:rPr>
          <w:rFonts w:ascii="Times New Roman" w:hAnsi="Times New Roman"/>
          <w:sz w:val="28"/>
          <w:szCs w:val="28"/>
          <w:lang w:val="es-CO"/>
        </w:rPr>
        <w:t xml:space="preserve"> y </w:t>
      </w:r>
      <w:r w:rsidR="00E60C8C" w:rsidRPr="00CD542C">
        <w:rPr>
          <w:rFonts w:ascii="Times New Roman" w:hAnsi="Times New Roman"/>
          <w:b/>
          <w:bCs/>
          <w:sz w:val="28"/>
          <w:szCs w:val="28"/>
          <w:lang w:val="es-CO"/>
        </w:rPr>
        <w:t>delimita el deber de debida diligencia ya que</w:t>
      </w:r>
      <w:r w:rsidR="00E60C8C" w:rsidRPr="00CD542C">
        <w:rPr>
          <w:rFonts w:ascii="Times New Roman" w:hAnsi="Times New Roman"/>
          <w:sz w:val="28"/>
          <w:szCs w:val="28"/>
          <w:lang w:val="es-CO"/>
        </w:rPr>
        <w:t xml:space="preserve"> “</w:t>
      </w:r>
      <w:r w:rsidR="00E60C8C" w:rsidRPr="00CD542C">
        <w:rPr>
          <w:rFonts w:ascii="Times New Roman" w:hAnsi="Times New Roman"/>
          <w:i/>
          <w:iCs/>
          <w:sz w:val="28"/>
          <w:szCs w:val="28"/>
          <w:lang w:val="es-CO"/>
        </w:rPr>
        <w:t xml:space="preserve">los Estados también pueden ser responsables de actos privados si no adoptan medidas con la diligencia debida para impedir la violación de los derechos o para </w:t>
      </w:r>
      <w:r w:rsidR="00E60C8C" w:rsidRPr="00CD542C">
        <w:rPr>
          <w:rFonts w:ascii="Times New Roman" w:hAnsi="Times New Roman"/>
          <w:b/>
          <w:bCs/>
          <w:i/>
          <w:iCs/>
          <w:sz w:val="28"/>
          <w:szCs w:val="28"/>
          <w:lang w:val="es-CO"/>
        </w:rPr>
        <w:t>investigar y castigar los actos de violencia e indemnizar a las víctimas</w:t>
      </w:r>
      <w:r w:rsidR="00E60C8C" w:rsidRPr="00CD542C">
        <w:rPr>
          <w:rFonts w:ascii="Times New Roman" w:hAnsi="Times New Roman"/>
          <w:sz w:val="28"/>
          <w:szCs w:val="28"/>
          <w:lang w:val="es-CO"/>
        </w:rPr>
        <w:t>”</w:t>
      </w:r>
      <w:r w:rsidR="00E60C8C" w:rsidRPr="00CD542C">
        <w:rPr>
          <w:rFonts w:ascii="Times New Roman" w:hAnsi="Times New Roman"/>
          <w:sz w:val="28"/>
          <w:szCs w:val="28"/>
          <w:vertAlign w:val="superscript"/>
          <w:lang w:val="es-CO"/>
        </w:rPr>
        <w:footnoteReference w:id="75"/>
      </w:r>
      <w:r w:rsidR="00E60C8C" w:rsidRPr="00CD542C">
        <w:rPr>
          <w:rFonts w:ascii="Times New Roman" w:hAnsi="Times New Roman"/>
          <w:sz w:val="28"/>
          <w:szCs w:val="28"/>
          <w:lang w:val="es-CO"/>
        </w:rPr>
        <w:t>. Igualmente, aborda cada uno de los artículos de la Convención desde el punto de vista de las obligaciones del Estado alrededor de la violencia. Por ejemplo, el deber del artículo 12 de que los Estados adopten medidas que garanticen la igualdad en materia de servicios de salud, ya que “</w:t>
      </w:r>
      <w:r w:rsidR="00E60C8C" w:rsidRPr="00CD542C">
        <w:rPr>
          <w:rFonts w:ascii="Times New Roman" w:hAnsi="Times New Roman"/>
          <w:i/>
          <w:iCs/>
          <w:sz w:val="28"/>
          <w:szCs w:val="28"/>
          <w:lang w:val="es-CO"/>
        </w:rPr>
        <w:t>la violencia contra la mujer pone en peligro su salud y su vida</w:t>
      </w:r>
      <w:r w:rsidR="00E60C8C" w:rsidRPr="00CD542C">
        <w:rPr>
          <w:rFonts w:ascii="Times New Roman" w:hAnsi="Times New Roman"/>
          <w:sz w:val="28"/>
          <w:szCs w:val="28"/>
          <w:lang w:val="es-CO"/>
        </w:rPr>
        <w:t>”</w:t>
      </w:r>
      <w:r w:rsidR="00E60C8C" w:rsidRPr="00CD542C">
        <w:rPr>
          <w:rFonts w:ascii="Times New Roman" w:hAnsi="Times New Roman"/>
          <w:sz w:val="28"/>
          <w:szCs w:val="28"/>
          <w:vertAlign w:val="superscript"/>
          <w:lang w:val="es-CO"/>
        </w:rPr>
        <w:footnoteReference w:id="76"/>
      </w:r>
      <w:r w:rsidR="00E60C8C" w:rsidRPr="00CD542C">
        <w:rPr>
          <w:rFonts w:ascii="Times New Roman" w:hAnsi="Times New Roman"/>
          <w:sz w:val="28"/>
          <w:szCs w:val="28"/>
          <w:lang w:val="es-CO"/>
        </w:rPr>
        <w:t xml:space="preserve">.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Cabe resaltar sus recomendaciones b) y t), en relación con la protección de las mujeres de la violencia, que instan a los Estados a que velen porque las normas y medidas que se adopten para prevenir todo tipo de violencia </w:t>
      </w:r>
      <w:r w:rsidR="000257E4" w:rsidRPr="00CD542C">
        <w:rPr>
          <w:rFonts w:ascii="Times New Roman" w:hAnsi="Times New Roman"/>
          <w:sz w:val="28"/>
          <w:szCs w:val="28"/>
          <w:lang w:val="es-CO"/>
        </w:rPr>
        <w:t xml:space="preserve">las </w:t>
      </w:r>
      <w:r w:rsidRPr="00CD542C">
        <w:rPr>
          <w:rFonts w:ascii="Times New Roman" w:hAnsi="Times New Roman"/>
          <w:sz w:val="28"/>
          <w:szCs w:val="28"/>
          <w:lang w:val="es-CO"/>
        </w:rPr>
        <w:t>protejan de forma adecuada y eficaz, se preste apoyo a las víctimas, se capacite a los operadores jurídicos</w:t>
      </w:r>
      <w:r w:rsidRPr="00CD542C">
        <w:rPr>
          <w:rFonts w:ascii="Times New Roman" w:hAnsi="Times New Roman"/>
          <w:sz w:val="28"/>
          <w:szCs w:val="28"/>
          <w:vertAlign w:val="superscript"/>
          <w:lang w:val="es-CO"/>
        </w:rPr>
        <w:footnoteReference w:id="77"/>
      </w:r>
      <w:r w:rsidRPr="00CD542C">
        <w:rPr>
          <w:rFonts w:ascii="Times New Roman" w:hAnsi="Times New Roman"/>
          <w:sz w:val="28"/>
          <w:szCs w:val="28"/>
          <w:lang w:val="es-CO"/>
        </w:rPr>
        <w:t xml:space="preserve"> y, de otra parte: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ind w:left="283" w:right="283"/>
        <w:jc w:val="both"/>
        <w:rPr>
          <w:rFonts w:ascii="Times New Roman" w:hAnsi="Times New Roman"/>
          <w:i/>
          <w:iCs/>
          <w:sz w:val="28"/>
          <w:szCs w:val="28"/>
          <w:lang w:val="es-CO"/>
        </w:rPr>
      </w:pPr>
      <w:r w:rsidRPr="00CD542C">
        <w:rPr>
          <w:rFonts w:ascii="Times New Roman" w:hAnsi="Times New Roman"/>
          <w:sz w:val="28"/>
          <w:szCs w:val="28"/>
          <w:lang w:val="es-CO"/>
        </w:rPr>
        <w:lastRenderedPageBreak/>
        <w:t>“</w:t>
      </w:r>
      <w:r w:rsidRPr="00CD542C">
        <w:rPr>
          <w:rFonts w:ascii="Times New Roman" w:hAnsi="Times New Roman"/>
          <w:i/>
          <w:iCs/>
          <w:sz w:val="28"/>
          <w:szCs w:val="28"/>
          <w:lang w:val="es-CO"/>
        </w:rPr>
        <w:t>t) adopten todas las medidas jurídicas y de otra índole que sean necesarias para proteger eficazmente a las mujeres contra la violencia, entre ellas:</w:t>
      </w:r>
    </w:p>
    <w:p w:rsidR="00E60C8C" w:rsidRPr="00CD542C" w:rsidRDefault="00E60C8C" w:rsidP="00CD542C">
      <w:pPr>
        <w:spacing w:after="0" w:line="240" w:lineRule="auto"/>
        <w:ind w:left="340" w:right="340"/>
        <w:jc w:val="both"/>
        <w:rPr>
          <w:rFonts w:ascii="Times New Roman" w:hAnsi="Times New Roman"/>
          <w:i/>
          <w:iCs/>
          <w:sz w:val="28"/>
          <w:szCs w:val="28"/>
          <w:lang w:val="es-CO"/>
        </w:rPr>
      </w:pPr>
      <w:r w:rsidRPr="00CD542C">
        <w:rPr>
          <w:rFonts w:ascii="Times New Roman" w:hAnsi="Times New Roman"/>
          <w:i/>
          <w:iCs/>
          <w:sz w:val="28"/>
          <w:szCs w:val="28"/>
          <w:lang w:val="es-CO"/>
        </w:rPr>
        <w:t>i) medidas jurídicas eficaces, como sanciones penales, recursos civiles e indemnización para protegerlas contra todo tipo de violencia, hasta la violencia y los malos tratos en la familia, la violencia sexual y el hostigamiento en el lugar de trabajo;</w:t>
      </w:r>
    </w:p>
    <w:p w:rsidR="00E60C8C" w:rsidRPr="00CD542C" w:rsidRDefault="00E60C8C" w:rsidP="00CD542C">
      <w:pPr>
        <w:spacing w:after="0" w:line="240" w:lineRule="auto"/>
        <w:ind w:left="340" w:right="340"/>
        <w:jc w:val="both"/>
        <w:rPr>
          <w:rFonts w:ascii="Times New Roman" w:hAnsi="Times New Roman"/>
          <w:i/>
          <w:iCs/>
          <w:sz w:val="28"/>
          <w:szCs w:val="28"/>
          <w:lang w:val="es-CO"/>
        </w:rPr>
      </w:pPr>
      <w:r w:rsidRPr="00CD542C">
        <w:rPr>
          <w:rFonts w:ascii="Times New Roman" w:hAnsi="Times New Roman"/>
          <w:i/>
          <w:iCs/>
          <w:sz w:val="28"/>
          <w:szCs w:val="28"/>
          <w:lang w:val="es-CO"/>
        </w:rPr>
        <w:t>ii) medidas preventivas, entre ellas programas de información y educación para modificar las actitudes relativas al papel y la condición del hombre y de la mujer;</w:t>
      </w:r>
    </w:p>
    <w:p w:rsidR="00E60C8C" w:rsidRPr="00CD542C" w:rsidRDefault="00E60C8C" w:rsidP="00CD542C">
      <w:pPr>
        <w:spacing w:after="0" w:line="240" w:lineRule="auto"/>
        <w:ind w:left="340" w:right="340"/>
        <w:jc w:val="both"/>
        <w:rPr>
          <w:rFonts w:ascii="Times New Roman" w:hAnsi="Times New Roman"/>
          <w:sz w:val="28"/>
          <w:szCs w:val="28"/>
          <w:lang w:val="es-CO"/>
        </w:rPr>
      </w:pPr>
      <w:r w:rsidRPr="00CD542C">
        <w:rPr>
          <w:rFonts w:ascii="Times New Roman" w:hAnsi="Times New Roman"/>
          <w:i/>
          <w:iCs/>
          <w:sz w:val="28"/>
          <w:szCs w:val="28"/>
          <w:lang w:val="es-CO"/>
        </w:rPr>
        <w:t>iii) medidas de protección, entre ellas refugios, asesoramiento, rehabilitación y servicios de apoyo para las mujeres que son víctimas de violencia o que se encuentren en peligro de serlo</w:t>
      </w:r>
      <w:r w:rsidRPr="00CD542C">
        <w:rPr>
          <w:rFonts w:ascii="Times New Roman" w:hAnsi="Times New Roman"/>
          <w:sz w:val="28"/>
          <w:szCs w:val="28"/>
          <w:lang w:val="es-CO"/>
        </w:rPr>
        <w:t>”.</w:t>
      </w:r>
    </w:p>
    <w:p w:rsidR="00E60C8C" w:rsidRPr="00CD542C" w:rsidRDefault="00E60C8C" w:rsidP="00CD542C">
      <w:pPr>
        <w:spacing w:after="0" w:line="240" w:lineRule="auto"/>
        <w:ind w:right="283"/>
        <w:jc w:val="both"/>
        <w:rPr>
          <w:rFonts w:ascii="Times New Roman" w:hAnsi="Times New Roman"/>
          <w:sz w:val="28"/>
          <w:szCs w:val="28"/>
          <w:lang w:val="es-CO"/>
        </w:rPr>
      </w:pPr>
    </w:p>
    <w:p w:rsidR="00E60C8C" w:rsidRPr="00CD542C" w:rsidRDefault="00A05E58"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35. </w:t>
      </w:r>
      <w:r w:rsidR="00E60C8C" w:rsidRPr="00CD542C">
        <w:rPr>
          <w:rFonts w:ascii="Times New Roman" w:hAnsi="Times New Roman"/>
          <w:sz w:val="28"/>
          <w:szCs w:val="28"/>
          <w:lang w:val="es-CO"/>
        </w:rPr>
        <w:t xml:space="preserve">De otra parte, la Declaración sobre la eliminación de la violencia contra la mujer de Naciones Unidas de 1993 reitera el </w:t>
      </w:r>
      <w:r w:rsidR="00E60C8C" w:rsidRPr="00CD542C">
        <w:rPr>
          <w:rFonts w:ascii="Times New Roman" w:hAnsi="Times New Roman"/>
          <w:b/>
          <w:bCs/>
          <w:sz w:val="28"/>
          <w:szCs w:val="28"/>
          <w:lang w:val="es-CO"/>
        </w:rPr>
        <w:t xml:space="preserve">deber de debida diligencia para la erradicación, prevención, investigación y sanción de la violencia contra las mujeres </w:t>
      </w:r>
      <w:r w:rsidR="00E60C8C" w:rsidRPr="00CD542C">
        <w:rPr>
          <w:rFonts w:ascii="Times New Roman" w:hAnsi="Times New Roman"/>
          <w:sz w:val="28"/>
          <w:szCs w:val="28"/>
          <w:lang w:val="es-CO"/>
        </w:rPr>
        <w:t>como un compromiso internacional que impone deberes positivos en la adopción de todo tipo de medidas en contra de la violencia contra la mujer</w:t>
      </w:r>
      <w:r w:rsidR="00E60C8C" w:rsidRPr="00CD542C">
        <w:rPr>
          <w:rFonts w:ascii="Times New Roman" w:hAnsi="Times New Roman"/>
          <w:sz w:val="28"/>
          <w:szCs w:val="28"/>
          <w:vertAlign w:val="superscript"/>
          <w:lang w:val="es-CO"/>
        </w:rPr>
        <w:footnoteReference w:id="78"/>
      </w:r>
      <w:r w:rsidR="00E60C8C" w:rsidRPr="00CD542C">
        <w:rPr>
          <w:rFonts w:ascii="Times New Roman" w:hAnsi="Times New Roman"/>
          <w:sz w:val="28"/>
          <w:szCs w:val="28"/>
          <w:lang w:val="es-CO"/>
        </w:rPr>
        <w:t>.</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A05E58"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36. </w:t>
      </w:r>
      <w:r w:rsidR="00E60C8C" w:rsidRPr="00CD542C">
        <w:rPr>
          <w:rFonts w:ascii="Times New Roman" w:hAnsi="Times New Roman"/>
          <w:sz w:val="28"/>
          <w:szCs w:val="28"/>
          <w:lang w:val="es-CO"/>
        </w:rPr>
        <w:t>Así mismo, el artículo 19 de la Convención Sobre los Derechos del Niño, proscribe todo tipo de violencia contra niños y niñas e impone la obligación de adoptar todas las medidas legislativas, administrativas, educativas y sociales para protegerlos de cualquier tipo de violencia o abuso. Las anteriores disposiciones, es decir, los contenidos normativos de la Convención Americana de Derechos Humanos, el Pacto Internacional de Derechos Civiles y Políticos de Naciones Unidas, la Convención de Belém do Pará, la CEDAW y la Convención sobre los Derechos del Niños, al consagrar derechos que no son susceptibles de suspensión en estados de excepción, hacen parte del bloque de constitucionalidad en sentido estricto</w:t>
      </w:r>
      <w:r w:rsidR="00E60C8C" w:rsidRPr="00CD542C">
        <w:rPr>
          <w:rFonts w:ascii="Times New Roman" w:hAnsi="Times New Roman"/>
          <w:sz w:val="28"/>
          <w:szCs w:val="28"/>
          <w:vertAlign w:val="superscript"/>
          <w:lang w:val="es-CO"/>
        </w:rPr>
        <w:footnoteReference w:id="79"/>
      </w:r>
      <w:r w:rsidR="00E60C8C" w:rsidRPr="00CD542C">
        <w:rPr>
          <w:rFonts w:ascii="Times New Roman" w:hAnsi="Times New Roman"/>
          <w:sz w:val="28"/>
          <w:szCs w:val="28"/>
          <w:lang w:val="es-CO"/>
        </w:rPr>
        <w:t xml:space="preserve">.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A05E58"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37. </w:t>
      </w:r>
      <w:r w:rsidR="00E60C8C" w:rsidRPr="00CD542C">
        <w:rPr>
          <w:rFonts w:ascii="Times New Roman" w:hAnsi="Times New Roman"/>
          <w:sz w:val="28"/>
          <w:szCs w:val="28"/>
          <w:lang w:val="es-CO"/>
        </w:rPr>
        <w:t>Esta Corporación ha aplicado este marco normativo en diferentes oportunidades, como parámetro de constitucionalidad de normas y fundamento de diversas protecciones del Estado, para garantizar el derecho de las mujeres a estar libres de violencia. Veamos.</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lastRenderedPageBreak/>
        <w:t xml:space="preserve">En el </w:t>
      </w:r>
      <w:r w:rsidRPr="00CD542C">
        <w:rPr>
          <w:rFonts w:ascii="Times New Roman" w:hAnsi="Times New Roman"/>
          <w:b/>
          <w:bCs/>
          <w:sz w:val="28"/>
          <w:szCs w:val="28"/>
          <w:lang w:val="es-CO"/>
        </w:rPr>
        <w:t>auto 092 de 2008</w:t>
      </w:r>
      <w:r w:rsidRPr="00CD542C">
        <w:rPr>
          <w:rFonts w:ascii="Times New Roman" w:hAnsi="Times New Roman"/>
          <w:b/>
          <w:bCs/>
          <w:sz w:val="28"/>
          <w:szCs w:val="28"/>
          <w:vertAlign w:val="superscript"/>
          <w:lang w:val="es-CO"/>
        </w:rPr>
        <w:footnoteReference w:id="80"/>
      </w:r>
      <w:r w:rsidRPr="00CD542C">
        <w:rPr>
          <w:rFonts w:ascii="Times New Roman" w:hAnsi="Times New Roman"/>
          <w:sz w:val="28"/>
          <w:szCs w:val="28"/>
          <w:lang w:val="es-CO"/>
        </w:rPr>
        <w:t xml:space="preserve">, la Corte estableció que las mujeres sufrían un impacto desproporcionado como consecuencia del conflicto armado, a partir del reconocimiento de que las mujeres estaban sujetas a un riesgo diferenciado de violencia, abuso o esclavitud sexual, entre otros. Además, reconoció que este riesgo era aun mayor para las mujeres indígenas y afro descendientes y estableció que existía un deber especial de protección para las mujeres víctimas de violencia del conflicto armado. Con fundamento en dicha constatación ordenó la protección específica de un número plural de mujeres en condición de desplazamiento, así como la adopción de trece programas para prevenir el impacto desproporcionado y diferencial del desplazamiento forzado sobre las mujeres colombianas, y proteger de manera efectiva los derechos fundamentales de las mujeres víctimas del desplazamiento.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En la misma línea, en la </w:t>
      </w:r>
      <w:r w:rsidRPr="00CD542C">
        <w:rPr>
          <w:rFonts w:ascii="Times New Roman" w:hAnsi="Times New Roman"/>
          <w:b/>
          <w:bCs/>
          <w:sz w:val="28"/>
          <w:szCs w:val="28"/>
          <w:lang w:val="es-CO"/>
        </w:rPr>
        <w:t>sentencia T-496 de 2008</w:t>
      </w:r>
      <w:r w:rsidRPr="00CD542C">
        <w:rPr>
          <w:rFonts w:ascii="Times New Roman" w:hAnsi="Times New Roman"/>
          <w:sz w:val="28"/>
          <w:szCs w:val="28"/>
          <w:vertAlign w:val="superscript"/>
          <w:lang w:val="es-CO"/>
        </w:rPr>
        <w:footnoteReference w:id="81"/>
      </w:r>
      <w:r w:rsidRPr="00CD542C">
        <w:rPr>
          <w:rFonts w:ascii="Times New Roman" w:hAnsi="Times New Roman"/>
          <w:b/>
          <w:bCs/>
          <w:sz w:val="28"/>
          <w:szCs w:val="28"/>
          <w:lang w:val="es-CO"/>
        </w:rPr>
        <w:t xml:space="preserve">, </w:t>
      </w:r>
      <w:r w:rsidRPr="00CD542C">
        <w:rPr>
          <w:rFonts w:ascii="Times New Roman" w:hAnsi="Times New Roman"/>
          <w:sz w:val="28"/>
          <w:szCs w:val="28"/>
          <w:lang w:val="es-CO"/>
        </w:rPr>
        <w:t>la Corte estableció que las tutelantes, como testigos de graves crímenes en el marco de la Ley de Justicia y Paz, estaban expuestas a riesgos extraordinarios de violencia en razón al género, que no estaban obligadas a soportar. Así, amparó los derechos de las peticionarias a la seguridad personal y a estar libres de violencia y ordenó al Ministerio del Interior y a la Fiscalía General de la Nación revisar el programa de Protección para Víctimas y Testigos de la Ley de Justicia y Paz para que incorporara un enfoque de género que tuviera en cuenta el impacto diferenciado y agudizado del conflicto armado sobre las mujeres víctimas de la violencia. De forma posterior, la Corte Constitucional, al delimitar el alcance del derecho a la seguridad personal y el derecho a estar libre de violencia de las mujeres, ha reevaluado el concepto de riesgo para establecer que la protección constitucional a partir de los riesgos debe evaluarse en conjunto con el concepto de amenaza que es el que activa las protecciones especiales que el Estado debe prestar para garantizar el derecho</w:t>
      </w:r>
      <w:r w:rsidRPr="00CD542C">
        <w:rPr>
          <w:rFonts w:ascii="Times New Roman" w:hAnsi="Times New Roman"/>
          <w:sz w:val="28"/>
          <w:szCs w:val="28"/>
          <w:vertAlign w:val="superscript"/>
          <w:lang w:val="es-CO"/>
        </w:rPr>
        <w:footnoteReference w:id="82"/>
      </w:r>
      <w:r w:rsidRPr="00CD542C">
        <w:rPr>
          <w:rFonts w:ascii="Times New Roman" w:hAnsi="Times New Roman"/>
          <w:sz w:val="28"/>
          <w:szCs w:val="28"/>
          <w:lang w:val="es-CO"/>
        </w:rPr>
        <w:t>.</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De otra parte, en relación con la atención integral a las sobrevivientes de violencia, en la </w:t>
      </w:r>
      <w:r w:rsidRPr="00CD542C">
        <w:rPr>
          <w:rFonts w:ascii="Times New Roman" w:hAnsi="Times New Roman"/>
          <w:b/>
          <w:bCs/>
          <w:sz w:val="28"/>
          <w:szCs w:val="28"/>
          <w:lang w:val="es-CO"/>
        </w:rPr>
        <w:t>sentencia C-776 de 2010</w:t>
      </w:r>
      <w:r w:rsidRPr="00CD542C">
        <w:rPr>
          <w:rFonts w:ascii="Times New Roman" w:hAnsi="Times New Roman"/>
          <w:b/>
          <w:bCs/>
          <w:sz w:val="28"/>
          <w:szCs w:val="28"/>
          <w:vertAlign w:val="superscript"/>
          <w:lang w:val="es-CO"/>
        </w:rPr>
        <w:footnoteReference w:id="83"/>
      </w:r>
      <w:r w:rsidRPr="00CD542C">
        <w:rPr>
          <w:rFonts w:ascii="Times New Roman" w:hAnsi="Times New Roman"/>
          <w:b/>
          <w:bCs/>
          <w:sz w:val="28"/>
          <w:szCs w:val="28"/>
          <w:lang w:val="es-CO"/>
        </w:rPr>
        <w:t>,</w:t>
      </w:r>
      <w:r w:rsidRPr="00CD542C">
        <w:rPr>
          <w:rFonts w:ascii="Times New Roman" w:hAnsi="Times New Roman"/>
          <w:sz w:val="28"/>
          <w:szCs w:val="28"/>
          <w:lang w:val="es-CO"/>
        </w:rPr>
        <w:t xml:space="preserve"> la Corte determinó que la norma </w:t>
      </w:r>
      <w:r w:rsidRPr="00CD542C">
        <w:rPr>
          <w:rFonts w:ascii="Times New Roman" w:hAnsi="Times New Roman"/>
          <w:sz w:val="28"/>
          <w:szCs w:val="28"/>
          <w:lang w:val="es-CO"/>
        </w:rPr>
        <w:lastRenderedPageBreak/>
        <w:t>que establece que las prestaciones incluidas en los planes obligatorios de los regímenes contributivo y subsidiado del Sistema General de Seguridad Social en Salud que contempla la obligación de prestar alimentación y habitación a las mujeres víctimas de violencia no viola el derecho a la salud. Este Tribunal analizó los deberes de protección a las mujeres a estar libres de violencia y concluyó que éstas medidas eran de atención y protección integral a la salud y por lo tanto podían ser incluidas en los el POS, como parte del margen de configuración del Legislador, además de haber sido reconocidas previamente en otros casos</w:t>
      </w:r>
      <w:r w:rsidRPr="00CD542C">
        <w:rPr>
          <w:rFonts w:ascii="Times New Roman" w:hAnsi="Times New Roman"/>
          <w:sz w:val="28"/>
          <w:szCs w:val="28"/>
          <w:vertAlign w:val="superscript"/>
          <w:lang w:val="es-CO"/>
        </w:rPr>
        <w:footnoteReference w:id="84"/>
      </w:r>
      <w:r w:rsidRPr="00CD542C">
        <w:rPr>
          <w:rFonts w:ascii="Times New Roman" w:hAnsi="Times New Roman"/>
          <w:sz w:val="28"/>
          <w:szCs w:val="28"/>
          <w:lang w:val="es-CO"/>
        </w:rPr>
        <w:t>.</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rPr>
        <w:t xml:space="preserve">En el mismo sentido, la Corte en la </w:t>
      </w:r>
      <w:r w:rsidRPr="00CD542C">
        <w:rPr>
          <w:rFonts w:ascii="Times New Roman" w:hAnsi="Times New Roman"/>
          <w:b/>
          <w:bCs/>
          <w:sz w:val="28"/>
          <w:szCs w:val="28"/>
        </w:rPr>
        <w:t>sentencia C-335 de 2013</w:t>
      </w:r>
      <w:r w:rsidRPr="00CD542C">
        <w:rPr>
          <w:rFonts w:ascii="Times New Roman" w:hAnsi="Times New Roman"/>
          <w:b/>
          <w:bCs/>
          <w:sz w:val="28"/>
          <w:szCs w:val="28"/>
          <w:vertAlign w:val="superscript"/>
        </w:rPr>
        <w:footnoteReference w:id="85"/>
      </w:r>
      <w:r w:rsidRPr="00CD542C">
        <w:rPr>
          <w:rFonts w:ascii="Times New Roman" w:hAnsi="Times New Roman"/>
          <w:sz w:val="28"/>
          <w:szCs w:val="28"/>
        </w:rPr>
        <w:t>, consideró que la consagración de medidas de sanción social en el ámbito de la discriminación y la violencia contra las mujeres es legítima y no constituye una violación de la titularidad del Estado de la administración de justicia, ni del principio de culpabilidad. Así, sostuvo que el control social informal en esos términos responde a la implementación del deber estatal de combatir la violencia y la discriminación contra la mujeres, el cual contribuye a atacar las causas sociales de la desigualdad, en el entendido de que éstas no se dirijan a descalificar personas o a la violación de sus derechos</w:t>
      </w:r>
      <w:r w:rsidRPr="00CD542C">
        <w:rPr>
          <w:rFonts w:ascii="Times New Roman" w:hAnsi="Times New Roman"/>
          <w:sz w:val="28"/>
          <w:szCs w:val="28"/>
          <w:vertAlign w:val="superscript"/>
        </w:rPr>
        <w:footnoteReference w:id="86"/>
      </w:r>
      <w:r w:rsidRPr="00CD542C">
        <w:rPr>
          <w:rFonts w:ascii="Times New Roman" w:hAnsi="Times New Roman"/>
          <w:sz w:val="28"/>
          <w:szCs w:val="28"/>
        </w:rPr>
        <w:t xml:space="preserve">.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En relación con el margen de configuración en materia penal, en la </w:t>
      </w:r>
      <w:r w:rsidRPr="00CD542C">
        <w:rPr>
          <w:rFonts w:ascii="Times New Roman" w:hAnsi="Times New Roman"/>
          <w:b/>
          <w:bCs/>
          <w:sz w:val="28"/>
          <w:szCs w:val="28"/>
          <w:lang w:val="es-CO"/>
        </w:rPr>
        <w:t>sentencia C-368 de 2014</w:t>
      </w:r>
      <w:r w:rsidRPr="00CD542C">
        <w:rPr>
          <w:rFonts w:ascii="Times New Roman" w:hAnsi="Times New Roman"/>
          <w:b/>
          <w:bCs/>
          <w:sz w:val="28"/>
          <w:szCs w:val="28"/>
          <w:vertAlign w:val="superscript"/>
          <w:lang w:val="es-CO"/>
        </w:rPr>
        <w:footnoteReference w:id="87"/>
      </w:r>
      <w:r w:rsidRPr="00CD542C">
        <w:rPr>
          <w:rFonts w:ascii="Times New Roman" w:hAnsi="Times New Roman"/>
          <w:sz w:val="28"/>
          <w:szCs w:val="28"/>
          <w:lang w:val="es-CO"/>
        </w:rPr>
        <w:t xml:space="preserve"> la Corte consideró que el aumento de penas para el delito de violencia intrafamiliar contemplado en el artículo 33 de la Ley 1147 de 2007 no viola el principio de proporcionalidad ni de igualdad,</w:t>
      </w:r>
      <w:r w:rsidRPr="00CD542C">
        <w:rPr>
          <w:rFonts w:ascii="Times New Roman" w:hAnsi="Times New Roman"/>
          <w:sz w:val="28"/>
          <w:szCs w:val="28"/>
        </w:rPr>
        <w:t xml:space="preserve"> </w:t>
      </w:r>
      <w:r w:rsidRPr="00CD542C">
        <w:rPr>
          <w:rFonts w:ascii="Times New Roman" w:hAnsi="Times New Roman"/>
          <w:sz w:val="28"/>
          <w:szCs w:val="28"/>
          <w:lang w:val="es-CO"/>
        </w:rPr>
        <w:t xml:space="preserve">pues constituye un ejercicio constitucionalmente admisible de la libertad de configuración del </w:t>
      </w:r>
      <w:r w:rsidRPr="00CD542C">
        <w:rPr>
          <w:rFonts w:ascii="Times New Roman" w:hAnsi="Times New Roman"/>
          <w:sz w:val="28"/>
          <w:szCs w:val="28"/>
          <w:lang w:val="es-CO"/>
        </w:rPr>
        <w:lastRenderedPageBreak/>
        <w:t>Legislador para proteger a la familia. A su vez, consideró que las circunstancias de agravación de la pena, cuando se trata de sujetos de especial protección como las mujeres y los niños y niñas, se ajustan a la Constitución y al deber de debida diligencia en la investigación y sanción de la violencia contra las mujeres, ya que el Estado les debe una mayor protección</w:t>
      </w:r>
      <w:r w:rsidRPr="00CD542C">
        <w:rPr>
          <w:rFonts w:ascii="Times New Roman" w:hAnsi="Times New Roman"/>
          <w:sz w:val="28"/>
          <w:szCs w:val="28"/>
          <w:vertAlign w:val="superscript"/>
          <w:lang w:val="es-CO"/>
        </w:rPr>
        <w:footnoteReference w:id="88"/>
      </w:r>
      <w:r w:rsidRPr="00CD542C">
        <w:rPr>
          <w:rFonts w:ascii="Times New Roman" w:hAnsi="Times New Roman"/>
          <w:sz w:val="28"/>
          <w:szCs w:val="28"/>
          <w:lang w:val="es-CO"/>
        </w:rPr>
        <w:t>.</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De igual modo, en la </w:t>
      </w:r>
      <w:r w:rsidRPr="00CD542C">
        <w:rPr>
          <w:rFonts w:ascii="Times New Roman" w:hAnsi="Times New Roman"/>
          <w:b/>
          <w:bCs/>
          <w:sz w:val="28"/>
          <w:szCs w:val="28"/>
          <w:lang w:val="es-CO"/>
        </w:rPr>
        <w:t>sentencia T-878 de 2014</w:t>
      </w:r>
      <w:r w:rsidRPr="00CD542C">
        <w:rPr>
          <w:rFonts w:ascii="Times New Roman" w:hAnsi="Times New Roman"/>
          <w:b/>
          <w:bCs/>
          <w:sz w:val="28"/>
          <w:szCs w:val="28"/>
          <w:vertAlign w:val="superscript"/>
          <w:lang w:val="es-CO"/>
        </w:rPr>
        <w:footnoteReference w:id="89"/>
      </w:r>
      <w:r w:rsidRPr="00CD542C">
        <w:rPr>
          <w:rFonts w:ascii="Times New Roman" w:hAnsi="Times New Roman"/>
          <w:sz w:val="28"/>
          <w:szCs w:val="28"/>
          <w:lang w:val="es-CO"/>
        </w:rPr>
        <w:t xml:space="preserve"> la Corte amparó los derechos de una mujer a estar libre de violencia, a la intimidad y a la igualdad cuando fue despedida como consecuencia de denunciar a su compañero sentimental ante el plantel educativo en el que él estudiaba y ella era trabajadora después de que la golpeara y quedara con una incapacidad de más de 20 días. La Corte, entre otros, se pronunció sobre el deber de debida diligencia en la administración de justicia y determinó que éste incluye el deber de adoptar una perspectiva de género en la investigación de la violencia contra las mujeres, para asegurar el acceso a la administración de justicia</w:t>
      </w:r>
      <w:r w:rsidRPr="00CD542C">
        <w:rPr>
          <w:rFonts w:ascii="Times New Roman" w:hAnsi="Times New Roman"/>
          <w:sz w:val="28"/>
          <w:szCs w:val="28"/>
          <w:vertAlign w:val="superscript"/>
          <w:lang w:val="es-CO"/>
        </w:rPr>
        <w:footnoteReference w:id="90"/>
      </w:r>
      <w:r w:rsidRPr="00CD542C">
        <w:rPr>
          <w:rFonts w:ascii="Times New Roman" w:hAnsi="Times New Roman"/>
          <w:sz w:val="28"/>
          <w:szCs w:val="28"/>
          <w:lang w:val="es-CO"/>
        </w:rPr>
        <w:t>.</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Así mismo, el</w:t>
      </w:r>
      <w:r w:rsidRPr="00CD542C">
        <w:rPr>
          <w:rFonts w:ascii="Times New Roman" w:hAnsi="Times New Roman"/>
          <w:b/>
          <w:bCs/>
          <w:sz w:val="28"/>
          <w:szCs w:val="28"/>
          <w:lang w:val="es-CO"/>
        </w:rPr>
        <w:t xml:space="preserve"> auto 009 de 2015</w:t>
      </w:r>
      <w:r w:rsidRPr="00CD542C">
        <w:rPr>
          <w:rFonts w:ascii="Times New Roman" w:hAnsi="Times New Roman"/>
          <w:b/>
          <w:bCs/>
          <w:sz w:val="28"/>
          <w:szCs w:val="28"/>
          <w:vertAlign w:val="superscript"/>
          <w:lang w:val="es-CO"/>
        </w:rPr>
        <w:footnoteReference w:id="91"/>
      </w:r>
      <w:r w:rsidRPr="00CD542C">
        <w:rPr>
          <w:rFonts w:ascii="Times New Roman" w:hAnsi="Times New Roman"/>
          <w:b/>
          <w:bCs/>
          <w:sz w:val="28"/>
          <w:szCs w:val="28"/>
          <w:lang w:val="es-CO"/>
        </w:rPr>
        <w:t xml:space="preserve"> reiteró</w:t>
      </w:r>
      <w:r w:rsidRPr="00CD542C">
        <w:rPr>
          <w:rFonts w:ascii="Times New Roman" w:hAnsi="Times New Roman"/>
          <w:sz w:val="28"/>
          <w:szCs w:val="28"/>
          <w:lang w:val="es-CO"/>
        </w:rPr>
        <w:t xml:space="preserve"> el riesgo desproporcionado de violencia, abuso y esclavitud sexual, al que se encuentran expuestas las mujeres en el contexto del conflicto armado. En éste, la Corte</w:t>
      </w:r>
      <w:r w:rsidRPr="00CD542C">
        <w:rPr>
          <w:rFonts w:ascii="Times New Roman" w:hAnsi="Times New Roman"/>
          <w:b/>
          <w:bCs/>
          <w:sz w:val="28"/>
          <w:szCs w:val="28"/>
          <w:lang w:val="es-CO"/>
        </w:rPr>
        <w:t xml:space="preserve"> </w:t>
      </w:r>
      <w:r w:rsidRPr="00CD542C">
        <w:rPr>
          <w:rFonts w:ascii="Times New Roman" w:hAnsi="Times New Roman"/>
          <w:sz w:val="28"/>
          <w:szCs w:val="28"/>
          <w:lang w:val="es-CO"/>
        </w:rPr>
        <w:t xml:space="preserve">dio seguimiento al </w:t>
      </w:r>
      <w:r w:rsidRPr="00CD542C">
        <w:rPr>
          <w:rFonts w:ascii="Times New Roman" w:hAnsi="Times New Roman"/>
          <w:b/>
          <w:bCs/>
          <w:sz w:val="28"/>
          <w:szCs w:val="28"/>
          <w:lang w:val="es-CO"/>
        </w:rPr>
        <w:t>auto 092 de 2008</w:t>
      </w:r>
      <w:r w:rsidRPr="00CD542C">
        <w:rPr>
          <w:rFonts w:ascii="Times New Roman" w:hAnsi="Times New Roman"/>
          <w:b/>
          <w:bCs/>
          <w:sz w:val="28"/>
          <w:szCs w:val="28"/>
          <w:vertAlign w:val="superscript"/>
          <w:lang w:val="es-CO"/>
        </w:rPr>
        <w:footnoteReference w:id="92"/>
      </w:r>
      <w:r w:rsidRPr="00CD542C">
        <w:rPr>
          <w:rFonts w:ascii="Times New Roman" w:hAnsi="Times New Roman"/>
          <w:sz w:val="28"/>
          <w:szCs w:val="28"/>
          <w:lang w:val="es-CO"/>
        </w:rPr>
        <w:t xml:space="preserve">, constató nuevos riesgos desproporcionados para las mujeres en el marco del conflicto y a partir del deber de debida diligencia en la prevención, atención, protección y garantía de acceso a la justicia para las mujeres sobrevivientes de violencia sexual delineó las obligaciones específicas para el Estado colombiano para: </w:t>
      </w:r>
      <w:r w:rsidRPr="00CD542C">
        <w:rPr>
          <w:rFonts w:ascii="Times New Roman" w:hAnsi="Times New Roman"/>
          <w:sz w:val="28"/>
          <w:szCs w:val="28"/>
        </w:rPr>
        <w:t xml:space="preserve">(i) prevenir la violencia la sexual en el marco del conflicto armado interno y el desplazamiento forzado por la violencia; (ii) atender y proteger a sus víctimas; y (iii) garantizar la investigación, el enjuiciamiento y la sanción de los responsables. Con fundamento en el anterior marco constitucional dio órdenes complejas con el objetivo de superar dichos riesgos y proteger a las mujeres. </w:t>
      </w:r>
    </w:p>
    <w:p w:rsidR="00E60C8C" w:rsidRPr="00CD542C" w:rsidRDefault="00E60C8C" w:rsidP="00CD542C">
      <w:pPr>
        <w:spacing w:after="0" w:line="240" w:lineRule="auto"/>
        <w:jc w:val="both"/>
        <w:rPr>
          <w:rFonts w:ascii="Times New Roman" w:hAnsi="Times New Roman"/>
          <w:sz w:val="28"/>
          <w:szCs w:val="28"/>
        </w:rPr>
      </w:pPr>
    </w:p>
    <w:p w:rsidR="00E60C8C" w:rsidRPr="00CD542C" w:rsidRDefault="00E60C8C"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Por último, este Tribunal en la </w:t>
      </w:r>
      <w:r w:rsidRPr="00CD542C">
        <w:rPr>
          <w:rFonts w:ascii="Times New Roman" w:hAnsi="Times New Roman"/>
          <w:b/>
          <w:bCs/>
          <w:sz w:val="28"/>
          <w:szCs w:val="28"/>
          <w:lang w:val="es-CO"/>
        </w:rPr>
        <w:t>sentencia C-754 de 2015</w:t>
      </w:r>
      <w:r w:rsidRPr="00CD542C">
        <w:rPr>
          <w:rFonts w:ascii="Times New Roman" w:hAnsi="Times New Roman"/>
          <w:b/>
          <w:bCs/>
          <w:sz w:val="28"/>
          <w:szCs w:val="28"/>
          <w:vertAlign w:val="superscript"/>
          <w:lang w:val="es-CO"/>
        </w:rPr>
        <w:footnoteReference w:id="93"/>
      </w:r>
      <w:r w:rsidRPr="00CD542C">
        <w:rPr>
          <w:rFonts w:ascii="Times New Roman" w:hAnsi="Times New Roman"/>
          <w:sz w:val="28"/>
          <w:szCs w:val="28"/>
          <w:lang w:val="es-CO"/>
        </w:rPr>
        <w:t xml:space="preserve"> abordó los deberes deber del Estado en relación con la prevención y garantía de las mujeres a estar libres de violencia sexual, al analizar los deberes alrededor de las medidas de salud para las víctimas de abuso sexual y en particular mujeres y niñas. En esa ocasión, la Corte reconoció que tenía un deber específico de proveer unos mínimos constitucionales en la atención en salud a las mujeres y niñas víctimas de violencia sexual que incluían “</w:t>
      </w:r>
      <w:r w:rsidRPr="00CD542C">
        <w:rPr>
          <w:rFonts w:ascii="Times New Roman" w:hAnsi="Times New Roman"/>
          <w:i/>
          <w:iCs/>
          <w:sz w:val="28"/>
          <w:szCs w:val="28"/>
          <w:lang w:val="es-CO"/>
        </w:rPr>
        <w:t>la atención en salud, servicios de apoyo por persona especialmente capacitado y un enfoque diferencial</w:t>
      </w:r>
      <w:r w:rsidRPr="00CD542C">
        <w:rPr>
          <w:rFonts w:ascii="Times New Roman" w:hAnsi="Times New Roman"/>
          <w:sz w:val="28"/>
          <w:szCs w:val="28"/>
          <w:lang w:val="es-CO"/>
        </w:rPr>
        <w:t xml:space="preserve">”. A su vez, estableció que esta obligación era de carácter inmediato y no estaba supeditada al principio de progresividad y no regresividad, por tratarse de la provisión de servicios de salud sin discriminación. </w:t>
      </w:r>
    </w:p>
    <w:p w:rsidR="00E60C8C" w:rsidRPr="00CD542C" w:rsidRDefault="00E60C8C" w:rsidP="00CD542C">
      <w:pPr>
        <w:spacing w:after="0" w:line="240" w:lineRule="auto"/>
        <w:jc w:val="both"/>
        <w:rPr>
          <w:rFonts w:ascii="Times New Roman" w:hAnsi="Times New Roman"/>
          <w:sz w:val="28"/>
          <w:szCs w:val="28"/>
          <w:lang w:val="es-CO"/>
        </w:rPr>
      </w:pPr>
    </w:p>
    <w:p w:rsidR="00E60C8C" w:rsidRPr="00CD542C" w:rsidRDefault="00A05E58"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38. </w:t>
      </w:r>
      <w:r w:rsidR="00E60C8C" w:rsidRPr="00CD542C">
        <w:rPr>
          <w:rFonts w:ascii="Times New Roman" w:hAnsi="Times New Roman"/>
          <w:sz w:val="28"/>
          <w:szCs w:val="28"/>
        </w:rPr>
        <w:t xml:space="preserve">En conclusión: (i) la violencia de género es un fenómeno social vigente que se fundamenta en la discriminación de la mujer y tiene serias consecuencias para el goce de sus derechos fundamentales; (ii) a partir de las disposiciones constitucionales y del bloque de constitucionalidad se ha reconocido </w:t>
      </w:r>
      <w:r w:rsidR="000257E4" w:rsidRPr="00CD542C">
        <w:rPr>
          <w:rFonts w:ascii="Times New Roman" w:hAnsi="Times New Roman"/>
          <w:sz w:val="28"/>
          <w:szCs w:val="28"/>
        </w:rPr>
        <w:t>el</w:t>
      </w:r>
      <w:r w:rsidR="00E60C8C" w:rsidRPr="00CD542C">
        <w:rPr>
          <w:rFonts w:ascii="Times New Roman" w:hAnsi="Times New Roman"/>
          <w:sz w:val="28"/>
          <w:szCs w:val="28"/>
        </w:rPr>
        <w:t xml:space="preserve"> derecho fundamental</w:t>
      </w:r>
      <w:r w:rsidRPr="00CD542C">
        <w:rPr>
          <w:rFonts w:ascii="Times New Roman" w:hAnsi="Times New Roman"/>
          <w:sz w:val="28"/>
          <w:szCs w:val="28"/>
        </w:rPr>
        <w:t xml:space="preserve"> de</w:t>
      </w:r>
      <w:r w:rsidR="00E60C8C" w:rsidRPr="00CD542C">
        <w:rPr>
          <w:rFonts w:ascii="Times New Roman" w:hAnsi="Times New Roman"/>
          <w:sz w:val="28"/>
          <w:szCs w:val="28"/>
        </w:rPr>
        <w:t xml:space="preserve"> las mujeres a estar libre</w:t>
      </w:r>
      <w:r w:rsidR="007A6641" w:rsidRPr="00CD542C">
        <w:rPr>
          <w:rFonts w:ascii="Times New Roman" w:hAnsi="Times New Roman"/>
          <w:sz w:val="28"/>
          <w:szCs w:val="28"/>
        </w:rPr>
        <w:t>s</w:t>
      </w:r>
      <w:r w:rsidR="00E60C8C" w:rsidRPr="00CD542C">
        <w:rPr>
          <w:rFonts w:ascii="Times New Roman" w:hAnsi="Times New Roman"/>
          <w:sz w:val="28"/>
          <w:szCs w:val="28"/>
        </w:rPr>
        <w:t xml:space="preserve"> de violencia, que a su vez comporta el deber estatal de adoptar todas las medidas para proteger</w:t>
      </w:r>
      <w:r w:rsidRPr="00CD542C">
        <w:rPr>
          <w:rFonts w:ascii="Times New Roman" w:hAnsi="Times New Roman"/>
          <w:sz w:val="28"/>
          <w:szCs w:val="28"/>
        </w:rPr>
        <w:t>las</w:t>
      </w:r>
      <w:r w:rsidR="00E60C8C" w:rsidRPr="00CD542C">
        <w:rPr>
          <w:rFonts w:ascii="Times New Roman" w:hAnsi="Times New Roman"/>
          <w:sz w:val="28"/>
          <w:szCs w:val="28"/>
        </w:rPr>
        <w:t xml:space="preserve"> de la violencia y atender de forma integral a sus sobrevivientes; (iii) el mismo marco impone la obligación de debida diligencia de prevenir,</w:t>
      </w:r>
      <w:r w:rsidRPr="00CD542C">
        <w:rPr>
          <w:rFonts w:ascii="Times New Roman" w:hAnsi="Times New Roman"/>
          <w:sz w:val="28"/>
          <w:szCs w:val="28"/>
        </w:rPr>
        <w:t xml:space="preserve"> atender,</w:t>
      </w:r>
      <w:r w:rsidR="00E60C8C" w:rsidRPr="00CD542C">
        <w:rPr>
          <w:rFonts w:ascii="Times New Roman" w:hAnsi="Times New Roman"/>
          <w:sz w:val="28"/>
          <w:szCs w:val="28"/>
        </w:rPr>
        <w:t xml:space="preserve"> investigar y sancionar la violencia contra la mujer; (iv) a su vez, este deber no se limita a la obligación de adoptar medidas de tipo penal sino también debe contemplar medidas sociales</w:t>
      </w:r>
      <w:r w:rsidR="000257E4" w:rsidRPr="00CD542C">
        <w:rPr>
          <w:rFonts w:ascii="Times New Roman" w:hAnsi="Times New Roman"/>
          <w:sz w:val="28"/>
          <w:szCs w:val="28"/>
        </w:rPr>
        <w:t xml:space="preserve"> y </w:t>
      </w:r>
      <w:r w:rsidR="00E60C8C" w:rsidRPr="00CD542C">
        <w:rPr>
          <w:rFonts w:ascii="Times New Roman" w:hAnsi="Times New Roman"/>
          <w:sz w:val="28"/>
          <w:szCs w:val="28"/>
        </w:rPr>
        <w:t>educativas</w:t>
      </w:r>
      <w:r w:rsidR="007A6641" w:rsidRPr="00CD542C">
        <w:rPr>
          <w:rFonts w:ascii="Times New Roman" w:hAnsi="Times New Roman"/>
          <w:sz w:val="28"/>
          <w:szCs w:val="28"/>
        </w:rPr>
        <w:t>, entre otras,</w:t>
      </w:r>
      <w:r w:rsidR="00E60C8C" w:rsidRPr="00CD542C">
        <w:rPr>
          <w:rFonts w:ascii="Times New Roman" w:hAnsi="Times New Roman"/>
          <w:sz w:val="28"/>
          <w:szCs w:val="28"/>
        </w:rPr>
        <w:t xml:space="preserve"> que contribuyan de forma efectiva a revertir las condiciones sociales que fomentan lo</w:t>
      </w:r>
      <w:r w:rsidRPr="00CD542C">
        <w:rPr>
          <w:rFonts w:ascii="Times New Roman" w:hAnsi="Times New Roman"/>
          <w:sz w:val="28"/>
          <w:szCs w:val="28"/>
        </w:rPr>
        <w:t xml:space="preserve">s estereotipos </w:t>
      </w:r>
      <w:r w:rsidR="007A6641" w:rsidRPr="00CD542C">
        <w:rPr>
          <w:rFonts w:ascii="Times New Roman" w:hAnsi="Times New Roman"/>
          <w:sz w:val="28"/>
          <w:szCs w:val="28"/>
        </w:rPr>
        <w:t xml:space="preserve">negativos </w:t>
      </w:r>
      <w:r w:rsidRPr="00CD542C">
        <w:rPr>
          <w:rFonts w:ascii="Times New Roman" w:hAnsi="Times New Roman"/>
          <w:sz w:val="28"/>
          <w:szCs w:val="28"/>
        </w:rPr>
        <w:t xml:space="preserve">de género y </w:t>
      </w:r>
      <w:r w:rsidR="007A6641" w:rsidRPr="00CD542C">
        <w:rPr>
          <w:rFonts w:ascii="Times New Roman" w:hAnsi="Times New Roman"/>
          <w:sz w:val="28"/>
          <w:szCs w:val="28"/>
        </w:rPr>
        <w:t xml:space="preserve"> precluyen el goce de la </w:t>
      </w:r>
      <w:r w:rsidR="00E60C8C" w:rsidRPr="00CD542C">
        <w:rPr>
          <w:rFonts w:ascii="Times New Roman" w:hAnsi="Times New Roman"/>
          <w:sz w:val="28"/>
          <w:szCs w:val="28"/>
        </w:rPr>
        <w:t xml:space="preserve">igualdad sustantiva, </w:t>
      </w:r>
      <w:r w:rsidR="007A6641" w:rsidRPr="00CD542C">
        <w:rPr>
          <w:rFonts w:ascii="Times New Roman" w:hAnsi="Times New Roman"/>
          <w:sz w:val="28"/>
          <w:szCs w:val="28"/>
        </w:rPr>
        <w:t xml:space="preserve">particularmente en el ámbito de la administración de justicia. </w:t>
      </w:r>
    </w:p>
    <w:p w:rsidR="00E60C8C" w:rsidRPr="00CD542C" w:rsidRDefault="00E60C8C" w:rsidP="00CD542C">
      <w:pPr>
        <w:spacing w:after="0" w:line="240" w:lineRule="auto"/>
        <w:jc w:val="both"/>
        <w:rPr>
          <w:rFonts w:ascii="Times New Roman" w:hAnsi="Times New Roman"/>
          <w:b/>
          <w:bCs/>
          <w:sz w:val="28"/>
          <w:szCs w:val="28"/>
        </w:rPr>
      </w:pPr>
    </w:p>
    <w:p w:rsidR="00E60C8C" w:rsidRPr="00CD542C" w:rsidRDefault="00E60C8C" w:rsidP="00CD542C">
      <w:pPr>
        <w:spacing w:after="0" w:line="240" w:lineRule="auto"/>
        <w:jc w:val="both"/>
        <w:rPr>
          <w:rFonts w:ascii="Times New Roman" w:hAnsi="Times New Roman"/>
          <w:sz w:val="28"/>
          <w:szCs w:val="28"/>
        </w:rPr>
      </w:pPr>
      <w:r w:rsidRPr="00CD542C">
        <w:rPr>
          <w:rFonts w:ascii="Times New Roman" w:hAnsi="Times New Roman"/>
          <w:sz w:val="28"/>
          <w:szCs w:val="28"/>
        </w:rPr>
        <w:t>En este contexto, esta Corporación ha c</w:t>
      </w:r>
      <w:r w:rsidR="000257E4" w:rsidRPr="00CD542C">
        <w:rPr>
          <w:rFonts w:ascii="Times New Roman" w:hAnsi="Times New Roman"/>
          <w:sz w:val="28"/>
          <w:szCs w:val="28"/>
        </w:rPr>
        <w:t xml:space="preserve">onsiderado </w:t>
      </w:r>
      <w:r w:rsidR="007A6641" w:rsidRPr="00CD542C">
        <w:rPr>
          <w:rFonts w:ascii="Times New Roman" w:hAnsi="Times New Roman"/>
          <w:sz w:val="28"/>
          <w:szCs w:val="28"/>
        </w:rPr>
        <w:t xml:space="preserve">deber del Estado </w:t>
      </w:r>
      <w:r w:rsidRPr="00CD542C">
        <w:rPr>
          <w:rFonts w:ascii="Times New Roman" w:hAnsi="Times New Roman"/>
          <w:sz w:val="28"/>
          <w:szCs w:val="28"/>
        </w:rPr>
        <w:t>adoptar: (i) acciones afirmativas para proteger a las mujeres de los riesgos y</w:t>
      </w:r>
      <w:r w:rsidRPr="00CD542C">
        <w:rPr>
          <w:rFonts w:ascii="Times New Roman" w:hAnsi="Times New Roman"/>
          <w:b/>
          <w:bCs/>
          <w:sz w:val="28"/>
          <w:szCs w:val="28"/>
        </w:rPr>
        <w:t xml:space="preserve"> </w:t>
      </w:r>
      <w:r w:rsidRPr="00CD542C">
        <w:rPr>
          <w:rFonts w:ascii="Times New Roman" w:hAnsi="Times New Roman"/>
          <w:sz w:val="28"/>
          <w:szCs w:val="28"/>
        </w:rPr>
        <w:t xml:space="preserve">amenazas desproporcionados de violencia en </w:t>
      </w:r>
      <w:r w:rsidR="007A6641" w:rsidRPr="00CD542C">
        <w:rPr>
          <w:rFonts w:ascii="Times New Roman" w:hAnsi="Times New Roman"/>
          <w:sz w:val="28"/>
          <w:szCs w:val="28"/>
        </w:rPr>
        <w:t xml:space="preserve">el </w:t>
      </w:r>
      <w:r w:rsidRPr="00CD542C">
        <w:rPr>
          <w:rFonts w:ascii="Times New Roman" w:hAnsi="Times New Roman"/>
          <w:sz w:val="28"/>
          <w:szCs w:val="28"/>
        </w:rPr>
        <w:t>contexto del conflicto armado, particularmente aquell</w:t>
      </w:r>
      <w:r w:rsidR="007A6641" w:rsidRPr="00CD542C">
        <w:rPr>
          <w:rFonts w:ascii="Times New Roman" w:hAnsi="Times New Roman"/>
          <w:sz w:val="28"/>
          <w:szCs w:val="28"/>
        </w:rPr>
        <w:t>os de abuso sexual; (ii) protocolos</w:t>
      </w:r>
      <w:r w:rsidRPr="00CD542C">
        <w:rPr>
          <w:rFonts w:ascii="Times New Roman" w:hAnsi="Times New Roman"/>
          <w:sz w:val="28"/>
          <w:szCs w:val="28"/>
        </w:rPr>
        <w:t xml:space="preserve"> de atención integral en salud y psicosociales para las víctimas de cualquier tipo de violencia, como un mínimo co</w:t>
      </w:r>
      <w:r w:rsidR="007A6641" w:rsidRPr="00CD542C">
        <w:rPr>
          <w:rFonts w:ascii="Times New Roman" w:hAnsi="Times New Roman"/>
          <w:sz w:val="28"/>
          <w:szCs w:val="28"/>
        </w:rPr>
        <w:t xml:space="preserve">nstitucional; (iii) </w:t>
      </w:r>
      <w:r w:rsidRPr="00CD542C">
        <w:rPr>
          <w:rFonts w:ascii="Times New Roman" w:hAnsi="Times New Roman"/>
          <w:sz w:val="28"/>
          <w:szCs w:val="28"/>
        </w:rPr>
        <w:t>un enfoque diferencial en los programas de testigos en el marco del acceso a la justicia en e</w:t>
      </w:r>
      <w:r w:rsidR="007A6641" w:rsidRPr="00CD542C">
        <w:rPr>
          <w:rFonts w:ascii="Times New Roman" w:hAnsi="Times New Roman"/>
          <w:sz w:val="28"/>
          <w:szCs w:val="28"/>
        </w:rPr>
        <w:t>l conflicto armado; (iv) políticas</w:t>
      </w:r>
      <w:r w:rsidRPr="00CD542C">
        <w:rPr>
          <w:rFonts w:ascii="Times New Roman" w:hAnsi="Times New Roman"/>
          <w:sz w:val="28"/>
          <w:szCs w:val="28"/>
        </w:rPr>
        <w:t xml:space="preserve"> para eliminar los estereotipos de género en la administración de justicia, particularmente los que revictimizan a las mujeres</w:t>
      </w:r>
      <w:r w:rsidR="00140263" w:rsidRPr="00CD542C">
        <w:rPr>
          <w:rFonts w:ascii="Times New Roman" w:hAnsi="Times New Roman"/>
          <w:sz w:val="28"/>
          <w:szCs w:val="28"/>
        </w:rPr>
        <w:t xml:space="preserve"> y (iv)</w:t>
      </w:r>
      <w:r w:rsidRPr="00CD542C">
        <w:rPr>
          <w:rFonts w:ascii="Times New Roman" w:hAnsi="Times New Roman"/>
          <w:sz w:val="28"/>
          <w:szCs w:val="28"/>
        </w:rPr>
        <w:t xml:space="preserve"> medidas</w:t>
      </w:r>
      <w:r w:rsidR="007A6641" w:rsidRPr="00CD542C">
        <w:rPr>
          <w:rFonts w:ascii="Times New Roman" w:hAnsi="Times New Roman"/>
          <w:sz w:val="28"/>
          <w:szCs w:val="28"/>
        </w:rPr>
        <w:t>,</w:t>
      </w:r>
      <w:r w:rsidRPr="00CD542C">
        <w:rPr>
          <w:rFonts w:ascii="Times New Roman" w:hAnsi="Times New Roman"/>
          <w:sz w:val="28"/>
          <w:szCs w:val="28"/>
        </w:rPr>
        <w:t xml:space="preserve"> más allá de las punitivas</w:t>
      </w:r>
      <w:r w:rsidR="007A6641" w:rsidRPr="00CD542C">
        <w:rPr>
          <w:rFonts w:ascii="Times New Roman" w:hAnsi="Times New Roman"/>
          <w:sz w:val="28"/>
          <w:szCs w:val="28"/>
        </w:rPr>
        <w:t>,</w:t>
      </w:r>
      <w:r w:rsidRPr="00CD542C">
        <w:rPr>
          <w:rFonts w:ascii="Times New Roman" w:hAnsi="Times New Roman"/>
          <w:sz w:val="28"/>
          <w:szCs w:val="28"/>
        </w:rPr>
        <w:t xml:space="preserve"> para erradicar la violencia contra la mujer, como la sanción social.</w:t>
      </w:r>
    </w:p>
    <w:p w:rsidR="00E60C8C" w:rsidRPr="00CD542C" w:rsidRDefault="00E60C8C" w:rsidP="00CD542C">
      <w:pPr>
        <w:spacing w:after="0" w:line="240" w:lineRule="auto"/>
        <w:jc w:val="both"/>
        <w:rPr>
          <w:rFonts w:ascii="Times New Roman" w:hAnsi="Times New Roman"/>
          <w:sz w:val="28"/>
          <w:szCs w:val="28"/>
        </w:rPr>
      </w:pPr>
    </w:p>
    <w:p w:rsidR="00E60C8C" w:rsidRPr="00CD542C" w:rsidRDefault="00E60C8C" w:rsidP="00CD542C">
      <w:pPr>
        <w:spacing w:after="0" w:line="240" w:lineRule="auto"/>
        <w:jc w:val="both"/>
        <w:rPr>
          <w:rFonts w:ascii="Times New Roman" w:hAnsi="Times New Roman"/>
          <w:sz w:val="28"/>
          <w:szCs w:val="28"/>
        </w:rPr>
      </w:pPr>
      <w:r w:rsidRPr="00CD542C">
        <w:rPr>
          <w:rFonts w:ascii="Times New Roman" w:hAnsi="Times New Roman"/>
          <w:b/>
          <w:bCs/>
          <w:sz w:val="28"/>
          <w:szCs w:val="28"/>
        </w:rPr>
        <w:t>Así pues,</w:t>
      </w:r>
      <w:r w:rsidRPr="00CD542C">
        <w:rPr>
          <w:rFonts w:ascii="Times New Roman" w:hAnsi="Times New Roman"/>
          <w:sz w:val="28"/>
          <w:szCs w:val="28"/>
        </w:rPr>
        <w:t xml:space="preserve"> </w:t>
      </w:r>
      <w:r w:rsidRPr="00CD542C">
        <w:rPr>
          <w:rFonts w:ascii="Times New Roman" w:hAnsi="Times New Roman"/>
          <w:b/>
          <w:bCs/>
          <w:sz w:val="28"/>
          <w:szCs w:val="28"/>
        </w:rPr>
        <w:t>el deber de debida diligencia en la prevención,</w:t>
      </w:r>
      <w:r w:rsidR="00EB7E38" w:rsidRPr="00CD542C">
        <w:rPr>
          <w:rFonts w:ascii="Times New Roman" w:hAnsi="Times New Roman"/>
          <w:b/>
          <w:bCs/>
          <w:sz w:val="28"/>
          <w:szCs w:val="28"/>
        </w:rPr>
        <w:t xml:space="preserve"> atención</w:t>
      </w:r>
      <w:r w:rsidRPr="00CD542C">
        <w:rPr>
          <w:rFonts w:ascii="Times New Roman" w:hAnsi="Times New Roman"/>
          <w:b/>
          <w:bCs/>
          <w:sz w:val="28"/>
          <w:szCs w:val="28"/>
        </w:rPr>
        <w:t xml:space="preserve"> investigación y sanción de la violencia contra la mujer impone al Estado la carga de adoptar una perspectiva de género en la investigación de estos delitos y violaciones de derechos humanos. </w:t>
      </w:r>
      <w:r w:rsidR="00EB7E38" w:rsidRPr="00CD542C">
        <w:rPr>
          <w:rFonts w:ascii="Times New Roman" w:hAnsi="Times New Roman"/>
          <w:sz w:val="28"/>
          <w:szCs w:val="28"/>
        </w:rPr>
        <w:t>Lo anterior, para contrarrestar el hecho de que el derecho</w:t>
      </w:r>
      <w:r w:rsidR="00EB7E38" w:rsidRPr="00CD542C">
        <w:rPr>
          <w:rFonts w:ascii="Times New Roman" w:hAnsi="Times New Roman"/>
          <w:b/>
          <w:bCs/>
          <w:sz w:val="28"/>
          <w:szCs w:val="28"/>
        </w:rPr>
        <w:t xml:space="preserve"> </w:t>
      </w:r>
      <w:r w:rsidRPr="00CD542C">
        <w:rPr>
          <w:rFonts w:ascii="Times New Roman" w:hAnsi="Times New Roman"/>
          <w:sz w:val="28"/>
          <w:szCs w:val="28"/>
        </w:rPr>
        <w:t xml:space="preserve">fue creado desde una perspectiva masculina que no </w:t>
      </w:r>
      <w:r w:rsidRPr="00CD542C">
        <w:rPr>
          <w:rFonts w:ascii="Times New Roman" w:hAnsi="Times New Roman"/>
          <w:sz w:val="28"/>
          <w:szCs w:val="28"/>
        </w:rPr>
        <w:lastRenderedPageBreak/>
        <w:t xml:space="preserve">ha tenido en cuenta </w:t>
      </w:r>
      <w:r w:rsidR="00EB7E38" w:rsidRPr="00CD542C">
        <w:rPr>
          <w:rFonts w:ascii="Times New Roman" w:hAnsi="Times New Roman"/>
          <w:sz w:val="28"/>
          <w:szCs w:val="28"/>
        </w:rPr>
        <w:t xml:space="preserve">las desigualdades de género </w:t>
      </w:r>
      <w:r w:rsidRPr="00CD542C">
        <w:rPr>
          <w:rFonts w:ascii="Times New Roman" w:hAnsi="Times New Roman"/>
          <w:sz w:val="28"/>
          <w:szCs w:val="28"/>
        </w:rPr>
        <w:t>y</w:t>
      </w:r>
      <w:r w:rsidR="00EB7E38" w:rsidRPr="00CD542C">
        <w:rPr>
          <w:rFonts w:ascii="Times New Roman" w:hAnsi="Times New Roman"/>
          <w:sz w:val="28"/>
          <w:szCs w:val="28"/>
        </w:rPr>
        <w:t>,</w:t>
      </w:r>
      <w:r w:rsidRPr="00CD542C">
        <w:rPr>
          <w:rFonts w:ascii="Times New Roman" w:hAnsi="Times New Roman"/>
          <w:sz w:val="28"/>
          <w:szCs w:val="28"/>
        </w:rPr>
        <w:t xml:space="preserve"> por lo tanto</w:t>
      </w:r>
      <w:r w:rsidR="00EB7E38" w:rsidRPr="00CD542C">
        <w:rPr>
          <w:rFonts w:ascii="Times New Roman" w:hAnsi="Times New Roman"/>
          <w:sz w:val="28"/>
          <w:szCs w:val="28"/>
        </w:rPr>
        <w:t xml:space="preserve">, no </w:t>
      </w:r>
      <w:r w:rsidRPr="00CD542C">
        <w:rPr>
          <w:rFonts w:ascii="Times New Roman" w:hAnsi="Times New Roman"/>
          <w:sz w:val="28"/>
          <w:szCs w:val="28"/>
        </w:rPr>
        <w:t>ha integrado</w:t>
      </w:r>
      <w:r w:rsidR="00EB7E38" w:rsidRPr="00CD542C">
        <w:rPr>
          <w:rFonts w:ascii="Times New Roman" w:hAnsi="Times New Roman"/>
          <w:sz w:val="28"/>
          <w:szCs w:val="28"/>
        </w:rPr>
        <w:t xml:space="preserve"> formas de superarlas</w:t>
      </w:r>
      <w:r w:rsidRPr="00CD542C">
        <w:rPr>
          <w:rFonts w:ascii="Times New Roman" w:hAnsi="Times New Roman"/>
          <w:sz w:val="28"/>
          <w:szCs w:val="28"/>
        </w:rPr>
        <w:t xml:space="preserve"> a la administración de justicia. Así, </w:t>
      </w:r>
      <w:r w:rsidRPr="00CD542C">
        <w:rPr>
          <w:rFonts w:ascii="Times New Roman" w:hAnsi="Times New Roman"/>
          <w:b/>
          <w:bCs/>
          <w:sz w:val="28"/>
          <w:szCs w:val="28"/>
        </w:rPr>
        <w:t>para abo</w:t>
      </w:r>
      <w:r w:rsidR="00EB7E38" w:rsidRPr="00CD542C">
        <w:rPr>
          <w:rFonts w:ascii="Times New Roman" w:hAnsi="Times New Roman"/>
          <w:b/>
          <w:bCs/>
          <w:sz w:val="28"/>
          <w:szCs w:val="28"/>
        </w:rPr>
        <w:t>rdar una investigación desde esta</w:t>
      </w:r>
      <w:r w:rsidRPr="00CD542C">
        <w:rPr>
          <w:rFonts w:ascii="Times New Roman" w:hAnsi="Times New Roman"/>
          <w:b/>
          <w:bCs/>
          <w:sz w:val="28"/>
          <w:szCs w:val="28"/>
        </w:rPr>
        <w:t xml:space="preserve"> perspectiva</w:t>
      </w:r>
      <w:r w:rsidR="00EB7E38" w:rsidRPr="00CD542C">
        <w:rPr>
          <w:rFonts w:ascii="Times New Roman" w:hAnsi="Times New Roman"/>
          <w:b/>
          <w:bCs/>
          <w:sz w:val="28"/>
          <w:szCs w:val="28"/>
        </w:rPr>
        <w:t>,</w:t>
      </w:r>
      <w:r w:rsidRPr="00CD542C">
        <w:rPr>
          <w:rFonts w:ascii="Times New Roman" w:hAnsi="Times New Roman"/>
          <w:b/>
          <w:bCs/>
          <w:sz w:val="28"/>
          <w:szCs w:val="28"/>
        </w:rPr>
        <w:t xml:space="preserve"> es necesario: (i) tener en cuenta la desigualdad sistemática que ha sufrido la mujer y su condición social como factores que la ponen en una situación de riesgo y amenaza de violencia; y (ii) abstenerse de revictimizar a las mujeres con fundamento en estereotipos de género negativos.</w:t>
      </w:r>
    </w:p>
    <w:p w:rsidR="00E60C8C" w:rsidRPr="00CD542C" w:rsidRDefault="00E60C8C" w:rsidP="00CD542C">
      <w:pPr>
        <w:spacing w:after="0" w:line="240" w:lineRule="auto"/>
        <w:jc w:val="both"/>
        <w:rPr>
          <w:rFonts w:ascii="Times New Roman" w:hAnsi="Times New Roman"/>
          <w:sz w:val="28"/>
          <w:szCs w:val="28"/>
        </w:rPr>
      </w:pPr>
    </w:p>
    <w:p w:rsidR="00344A7A" w:rsidRPr="00CD542C" w:rsidRDefault="00344A7A" w:rsidP="00CD542C">
      <w:pPr>
        <w:spacing w:after="0" w:line="240" w:lineRule="auto"/>
        <w:jc w:val="both"/>
        <w:rPr>
          <w:rFonts w:ascii="Times New Roman" w:hAnsi="Times New Roman"/>
          <w:b/>
          <w:sz w:val="28"/>
          <w:szCs w:val="28"/>
        </w:rPr>
      </w:pPr>
      <w:r w:rsidRPr="00CD542C">
        <w:rPr>
          <w:rFonts w:ascii="Times New Roman" w:hAnsi="Times New Roman"/>
          <w:b/>
          <w:sz w:val="28"/>
          <w:szCs w:val="28"/>
        </w:rPr>
        <w:t>La tipificación del feminicidio</w:t>
      </w:r>
      <w:r w:rsidR="007B0049" w:rsidRPr="00CD542C">
        <w:rPr>
          <w:rFonts w:ascii="Times New Roman" w:hAnsi="Times New Roman"/>
          <w:b/>
          <w:sz w:val="28"/>
          <w:szCs w:val="28"/>
        </w:rPr>
        <w:t xml:space="preserve"> en contexto</w:t>
      </w:r>
      <w:r w:rsidR="00E26471" w:rsidRPr="00CD542C">
        <w:rPr>
          <w:rFonts w:ascii="Times New Roman" w:hAnsi="Times New Roman"/>
          <w:b/>
          <w:sz w:val="28"/>
          <w:szCs w:val="28"/>
        </w:rPr>
        <w:t xml:space="preserve"> y sus dificultades probatorias</w:t>
      </w:r>
    </w:p>
    <w:p w:rsidR="00344A7A" w:rsidRPr="00CD542C" w:rsidRDefault="00344A7A" w:rsidP="00CD542C">
      <w:pPr>
        <w:spacing w:after="0" w:line="240" w:lineRule="auto"/>
        <w:jc w:val="both"/>
        <w:rPr>
          <w:rFonts w:ascii="Times New Roman" w:hAnsi="Times New Roman"/>
          <w:sz w:val="28"/>
          <w:szCs w:val="28"/>
        </w:rPr>
      </w:pPr>
    </w:p>
    <w:p w:rsidR="00A31997"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3</w:t>
      </w:r>
      <w:r w:rsidR="00775213" w:rsidRPr="00CD542C">
        <w:rPr>
          <w:rFonts w:ascii="Times New Roman" w:hAnsi="Times New Roman"/>
          <w:sz w:val="28"/>
          <w:szCs w:val="28"/>
        </w:rPr>
        <w:t>9</w:t>
      </w:r>
      <w:r w:rsidR="00A31997" w:rsidRPr="00CD542C">
        <w:rPr>
          <w:rFonts w:ascii="Times New Roman" w:hAnsi="Times New Roman"/>
          <w:sz w:val="28"/>
          <w:szCs w:val="28"/>
        </w:rPr>
        <w:t xml:space="preserve">. </w:t>
      </w:r>
      <w:r w:rsidR="00EF1505" w:rsidRPr="00CD542C">
        <w:rPr>
          <w:rFonts w:ascii="Times New Roman" w:hAnsi="Times New Roman"/>
          <w:sz w:val="28"/>
          <w:szCs w:val="28"/>
        </w:rPr>
        <w:t>El feminicidio como tipo penal responde a</w:t>
      </w:r>
      <w:r w:rsidR="0085543A" w:rsidRPr="00CD542C">
        <w:rPr>
          <w:rFonts w:ascii="Times New Roman" w:hAnsi="Times New Roman"/>
          <w:sz w:val="28"/>
          <w:szCs w:val="28"/>
        </w:rPr>
        <w:t xml:space="preserve"> </w:t>
      </w:r>
      <w:r w:rsidR="00EF1505" w:rsidRPr="00CD542C">
        <w:rPr>
          <w:rFonts w:ascii="Times New Roman" w:hAnsi="Times New Roman"/>
          <w:sz w:val="28"/>
          <w:szCs w:val="28"/>
        </w:rPr>
        <w:t xml:space="preserve">la penalización autónoma del homicidio </w:t>
      </w:r>
      <w:r w:rsidR="003245A2" w:rsidRPr="00CD542C">
        <w:rPr>
          <w:rFonts w:ascii="Times New Roman" w:hAnsi="Times New Roman"/>
          <w:sz w:val="28"/>
          <w:szCs w:val="28"/>
        </w:rPr>
        <w:t xml:space="preserve">de una mujer </w:t>
      </w:r>
      <w:r w:rsidR="00EF1505" w:rsidRPr="00CD542C">
        <w:rPr>
          <w:rFonts w:ascii="Times New Roman" w:hAnsi="Times New Roman"/>
          <w:sz w:val="28"/>
          <w:szCs w:val="28"/>
        </w:rPr>
        <w:t>en raz</w:t>
      </w:r>
      <w:r w:rsidR="00DE1365" w:rsidRPr="00CD542C">
        <w:rPr>
          <w:rFonts w:ascii="Times New Roman" w:hAnsi="Times New Roman"/>
          <w:sz w:val="28"/>
          <w:szCs w:val="28"/>
        </w:rPr>
        <w:t>ón a</w:t>
      </w:r>
      <w:r w:rsidR="003245A2" w:rsidRPr="00CD542C">
        <w:rPr>
          <w:rFonts w:ascii="Times New Roman" w:hAnsi="Times New Roman"/>
          <w:sz w:val="28"/>
          <w:szCs w:val="28"/>
        </w:rPr>
        <w:t xml:space="preserve"> su</w:t>
      </w:r>
      <w:r w:rsidR="00EF1505" w:rsidRPr="00CD542C">
        <w:rPr>
          <w:rFonts w:ascii="Times New Roman" w:hAnsi="Times New Roman"/>
          <w:sz w:val="28"/>
          <w:szCs w:val="28"/>
        </w:rPr>
        <w:t xml:space="preserve"> género</w:t>
      </w:r>
      <w:r w:rsidR="0032222C" w:rsidRPr="00CD542C">
        <w:rPr>
          <w:rStyle w:val="Refdenotaalpie"/>
          <w:rFonts w:ascii="Times New Roman" w:hAnsi="Times New Roman"/>
          <w:sz w:val="28"/>
          <w:szCs w:val="28"/>
        </w:rPr>
        <w:footnoteReference w:id="94"/>
      </w:r>
      <w:r w:rsidR="0085543A" w:rsidRPr="00CD542C">
        <w:rPr>
          <w:rFonts w:ascii="Times New Roman" w:hAnsi="Times New Roman"/>
          <w:sz w:val="28"/>
          <w:szCs w:val="28"/>
        </w:rPr>
        <w:t xml:space="preserve">. </w:t>
      </w:r>
      <w:r w:rsidR="003245A2" w:rsidRPr="00CD542C">
        <w:rPr>
          <w:rFonts w:ascii="Times New Roman" w:hAnsi="Times New Roman"/>
          <w:sz w:val="28"/>
          <w:szCs w:val="28"/>
        </w:rPr>
        <w:t>Este concepto ha sido desarrollado principalmente en México y Guatemala a partir de los reportes de tortura y asesinato</w:t>
      </w:r>
      <w:r w:rsidR="00DE1365" w:rsidRPr="00CD542C">
        <w:rPr>
          <w:rFonts w:ascii="Times New Roman" w:hAnsi="Times New Roman"/>
          <w:sz w:val="28"/>
          <w:szCs w:val="28"/>
        </w:rPr>
        <w:t xml:space="preserve"> sistemático</w:t>
      </w:r>
      <w:r w:rsidR="003245A2" w:rsidRPr="00CD542C">
        <w:rPr>
          <w:rFonts w:ascii="Times New Roman" w:hAnsi="Times New Roman"/>
          <w:sz w:val="28"/>
          <w:szCs w:val="28"/>
        </w:rPr>
        <w:t xml:space="preserve"> de mujeres </w:t>
      </w:r>
      <w:r w:rsidR="00DE1365" w:rsidRPr="00CD542C">
        <w:rPr>
          <w:rFonts w:ascii="Times New Roman" w:hAnsi="Times New Roman"/>
          <w:sz w:val="28"/>
          <w:szCs w:val="28"/>
        </w:rPr>
        <w:t>con evidencia de violencia exacerbada</w:t>
      </w:r>
      <w:r w:rsidR="003245A2" w:rsidRPr="00CD542C">
        <w:rPr>
          <w:rFonts w:ascii="Times New Roman" w:hAnsi="Times New Roman"/>
          <w:sz w:val="28"/>
          <w:szCs w:val="28"/>
        </w:rPr>
        <w:t>, y de la inacción del Estado en su investigación y sanción</w:t>
      </w:r>
      <w:r w:rsidR="003245A2" w:rsidRPr="00CD542C">
        <w:rPr>
          <w:rStyle w:val="Refdenotaalpie"/>
          <w:rFonts w:ascii="Times New Roman" w:hAnsi="Times New Roman"/>
          <w:sz w:val="28"/>
          <w:szCs w:val="28"/>
        </w:rPr>
        <w:footnoteReference w:id="95"/>
      </w:r>
      <w:r w:rsidR="00A31997" w:rsidRPr="00CD542C">
        <w:rPr>
          <w:rFonts w:ascii="Times New Roman" w:hAnsi="Times New Roman"/>
          <w:sz w:val="28"/>
          <w:szCs w:val="28"/>
        </w:rPr>
        <w:t>. Específicamente, la situación de</w:t>
      </w:r>
      <w:r w:rsidR="001805C4" w:rsidRPr="00CD542C">
        <w:rPr>
          <w:rFonts w:ascii="Times New Roman" w:hAnsi="Times New Roman"/>
          <w:sz w:val="28"/>
          <w:szCs w:val="28"/>
        </w:rPr>
        <w:t xml:space="preserve"> homicidios de mujeres en ciudad Juárez en</w:t>
      </w:r>
      <w:r w:rsidR="00A31997" w:rsidRPr="00CD542C">
        <w:rPr>
          <w:rFonts w:ascii="Times New Roman" w:hAnsi="Times New Roman"/>
          <w:sz w:val="28"/>
          <w:szCs w:val="28"/>
        </w:rPr>
        <w:t xml:space="preserve"> México</w:t>
      </w:r>
      <w:r w:rsidR="00856881" w:rsidRPr="00CD542C">
        <w:rPr>
          <w:rStyle w:val="Refdenotaalpie"/>
          <w:rFonts w:ascii="Times New Roman" w:hAnsi="Times New Roman"/>
          <w:sz w:val="28"/>
          <w:szCs w:val="28"/>
        </w:rPr>
        <w:footnoteReference w:id="96"/>
      </w:r>
      <w:r w:rsidR="00A31997" w:rsidRPr="00CD542C">
        <w:rPr>
          <w:rFonts w:ascii="Times New Roman" w:hAnsi="Times New Roman"/>
          <w:sz w:val="28"/>
          <w:szCs w:val="28"/>
        </w:rPr>
        <w:t xml:space="preserve"> </w:t>
      </w:r>
      <w:r w:rsidR="001805C4" w:rsidRPr="00CD542C">
        <w:rPr>
          <w:rFonts w:ascii="Times New Roman" w:hAnsi="Times New Roman"/>
          <w:sz w:val="28"/>
          <w:szCs w:val="28"/>
        </w:rPr>
        <w:t>de for</w:t>
      </w:r>
      <w:r w:rsidR="008D6AC8" w:rsidRPr="00CD542C">
        <w:rPr>
          <w:rFonts w:ascii="Times New Roman" w:hAnsi="Times New Roman"/>
          <w:sz w:val="28"/>
          <w:szCs w:val="28"/>
        </w:rPr>
        <w:t>ma sistemática y con violencia agravada</w:t>
      </w:r>
      <w:r w:rsidR="00A31997" w:rsidRPr="00CD542C">
        <w:rPr>
          <w:rFonts w:ascii="Times New Roman" w:hAnsi="Times New Roman"/>
          <w:sz w:val="28"/>
          <w:szCs w:val="28"/>
        </w:rPr>
        <w:t xml:space="preserve"> impulsó el desarrollo del concepto en la región </w:t>
      </w:r>
      <w:r w:rsidR="001805C4" w:rsidRPr="00CD542C">
        <w:rPr>
          <w:rFonts w:ascii="Times New Roman" w:hAnsi="Times New Roman"/>
          <w:sz w:val="28"/>
          <w:szCs w:val="28"/>
        </w:rPr>
        <w:t xml:space="preserve">y </w:t>
      </w:r>
      <w:r w:rsidR="00A31997" w:rsidRPr="00CD542C">
        <w:rPr>
          <w:rFonts w:ascii="Times New Roman" w:hAnsi="Times New Roman"/>
          <w:sz w:val="28"/>
          <w:szCs w:val="28"/>
        </w:rPr>
        <w:t xml:space="preserve">fue abordada por la </w:t>
      </w:r>
      <w:r w:rsidR="00216F19" w:rsidRPr="00CD542C">
        <w:rPr>
          <w:rFonts w:ascii="Times New Roman" w:hAnsi="Times New Roman"/>
          <w:sz w:val="28"/>
          <w:szCs w:val="28"/>
        </w:rPr>
        <w:t>Corte Interamericana de Derechos Humanos</w:t>
      </w:r>
      <w:r w:rsidR="00A31997" w:rsidRPr="00CD542C">
        <w:rPr>
          <w:rFonts w:ascii="Times New Roman" w:hAnsi="Times New Roman"/>
          <w:sz w:val="28"/>
          <w:szCs w:val="28"/>
        </w:rPr>
        <w:t xml:space="preserve"> (Corte IDH)</w:t>
      </w:r>
      <w:r w:rsidR="00216F19" w:rsidRPr="00CD542C">
        <w:rPr>
          <w:rFonts w:ascii="Times New Roman" w:hAnsi="Times New Roman"/>
          <w:sz w:val="28"/>
          <w:szCs w:val="28"/>
        </w:rPr>
        <w:t xml:space="preserve">. </w:t>
      </w:r>
    </w:p>
    <w:p w:rsidR="00A31997" w:rsidRPr="00CD542C" w:rsidRDefault="00A31997" w:rsidP="00CD542C">
      <w:pPr>
        <w:spacing w:after="0" w:line="240" w:lineRule="auto"/>
        <w:jc w:val="both"/>
        <w:rPr>
          <w:rFonts w:ascii="Times New Roman" w:hAnsi="Times New Roman"/>
          <w:sz w:val="28"/>
          <w:szCs w:val="28"/>
        </w:rPr>
      </w:pPr>
    </w:p>
    <w:p w:rsidR="003245A2" w:rsidRPr="00CD542C" w:rsidRDefault="00625BDF" w:rsidP="00CD542C">
      <w:pPr>
        <w:spacing w:after="0" w:line="240" w:lineRule="auto"/>
        <w:jc w:val="both"/>
        <w:rPr>
          <w:rFonts w:ascii="Times New Roman" w:hAnsi="Times New Roman"/>
          <w:sz w:val="28"/>
          <w:szCs w:val="28"/>
        </w:rPr>
      </w:pPr>
      <w:r w:rsidRPr="00CD542C">
        <w:rPr>
          <w:rFonts w:ascii="Times New Roman" w:hAnsi="Times New Roman"/>
          <w:sz w:val="28"/>
          <w:szCs w:val="28"/>
        </w:rPr>
        <w:t>Así, e</w:t>
      </w:r>
      <w:r w:rsidR="00216F19" w:rsidRPr="00CD542C">
        <w:rPr>
          <w:rFonts w:ascii="Times New Roman" w:hAnsi="Times New Roman"/>
          <w:sz w:val="28"/>
          <w:szCs w:val="28"/>
        </w:rPr>
        <w:t xml:space="preserve">n el caso González </w:t>
      </w:r>
      <w:r w:rsidR="00E62EB3" w:rsidRPr="00CD542C">
        <w:rPr>
          <w:rFonts w:ascii="Times New Roman" w:hAnsi="Times New Roman"/>
          <w:sz w:val="28"/>
          <w:szCs w:val="28"/>
        </w:rPr>
        <w:t>y otras (Campo Algodonero) vs México</w:t>
      </w:r>
      <w:r w:rsidR="00E62EB3" w:rsidRPr="00CD542C">
        <w:rPr>
          <w:rStyle w:val="Refdenotaalpie"/>
          <w:rFonts w:ascii="Times New Roman" w:hAnsi="Times New Roman"/>
          <w:sz w:val="28"/>
          <w:szCs w:val="28"/>
        </w:rPr>
        <w:footnoteReference w:id="97"/>
      </w:r>
      <w:r w:rsidR="00E62EB3" w:rsidRPr="00CD542C">
        <w:rPr>
          <w:rFonts w:ascii="Times New Roman" w:hAnsi="Times New Roman"/>
          <w:sz w:val="28"/>
          <w:szCs w:val="28"/>
        </w:rPr>
        <w:t>, tres mujeres jóvenes, una estudiante, una trabajadora de maquila y una empleada doméstica fueron encontradas asesina</w:t>
      </w:r>
      <w:r w:rsidR="00724925" w:rsidRPr="00CD542C">
        <w:rPr>
          <w:rFonts w:ascii="Times New Roman" w:hAnsi="Times New Roman"/>
          <w:sz w:val="28"/>
          <w:szCs w:val="28"/>
        </w:rPr>
        <w:t>das tras la perpetración de</w:t>
      </w:r>
      <w:r w:rsidR="00E62EB3" w:rsidRPr="00CD542C">
        <w:rPr>
          <w:rFonts w:ascii="Times New Roman" w:hAnsi="Times New Roman"/>
          <w:sz w:val="28"/>
          <w:szCs w:val="28"/>
        </w:rPr>
        <w:t xml:space="preserve"> violencia sexual</w:t>
      </w:r>
      <w:r w:rsidR="00724925" w:rsidRPr="00CD542C">
        <w:rPr>
          <w:rFonts w:ascii="Times New Roman" w:hAnsi="Times New Roman"/>
          <w:sz w:val="28"/>
          <w:szCs w:val="28"/>
        </w:rPr>
        <w:t>, tortura y mutilaciones</w:t>
      </w:r>
      <w:r w:rsidR="00E62EB3" w:rsidRPr="00CD542C">
        <w:rPr>
          <w:rFonts w:ascii="Times New Roman" w:hAnsi="Times New Roman"/>
          <w:sz w:val="28"/>
          <w:szCs w:val="28"/>
        </w:rPr>
        <w:t xml:space="preserve"> tres meses después de su desaparición en ciudad Juárez, en un contexto de delincuencia organizada y donde desde 1993 existía un aumento de homicidios de mujeres influenciado por una cultura de discriminación contra la mujer. Los crímenes permanecieron en la impunidad. La Corte encontró que el Estado </w:t>
      </w:r>
      <w:r w:rsidR="00E26471" w:rsidRPr="00CD542C">
        <w:rPr>
          <w:rFonts w:ascii="Times New Roman" w:hAnsi="Times New Roman"/>
          <w:sz w:val="28"/>
          <w:szCs w:val="28"/>
        </w:rPr>
        <w:t xml:space="preserve">violó </w:t>
      </w:r>
      <w:r w:rsidR="00E62EB3" w:rsidRPr="00CD542C">
        <w:rPr>
          <w:rFonts w:ascii="Times New Roman" w:hAnsi="Times New Roman"/>
          <w:sz w:val="28"/>
          <w:szCs w:val="28"/>
        </w:rPr>
        <w:t>los derecho</w:t>
      </w:r>
      <w:r w:rsidR="00D43DF4" w:rsidRPr="00CD542C">
        <w:rPr>
          <w:rFonts w:ascii="Times New Roman" w:hAnsi="Times New Roman"/>
          <w:sz w:val="28"/>
          <w:szCs w:val="28"/>
        </w:rPr>
        <w:t>s</w:t>
      </w:r>
      <w:r w:rsidR="00E62EB3" w:rsidRPr="00CD542C">
        <w:rPr>
          <w:rFonts w:ascii="Times New Roman" w:hAnsi="Times New Roman"/>
          <w:sz w:val="28"/>
          <w:szCs w:val="28"/>
        </w:rPr>
        <w:t xml:space="preserve"> a la vida, a la integridad persona</w:t>
      </w:r>
      <w:r w:rsidR="00724925" w:rsidRPr="00CD542C">
        <w:rPr>
          <w:rFonts w:ascii="Times New Roman" w:hAnsi="Times New Roman"/>
          <w:sz w:val="28"/>
          <w:szCs w:val="28"/>
        </w:rPr>
        <w:t>l</w:t>
      </w:r>
      <w:r w:rsidR="00E62EB3" w:rsidRPr="00CD542C">
        <w:rPr>
          <w:rFonts w:ascii="Times New Roman" w:hAnsi="Times New Roman"/>
          <w:sz w:val="28"/>
          <w:szCs w:val="28"/>
        </w:rPr>
        <w:t>, a la libertad personal en relación con su obligación de adoptar disposiciones para garantizar esos derechos</w:t>
      </w:r>
      <w:r w:rsidR="00724925" w:rsidRPr="00CD542C">
        <w:rPr>
          <w:rFonts w:ascii="Times New Roman" w:hAnsi="Times New Roman"/>
          <w:sz w:val="28"/>
          <w:szCs w:val="28"/>
        </w:rPr>
        <w:t>,</w:t>
      </w:r>
      <w:r w:rsidR="00E62EB3" w:rsidRPr="00CD542C">
        <w:rPr>
          <w:rFonts w:ascii="Times New Roman" w:hAnsi="Times New Roman"/>
          <w:sz w:val="28"/>
          <w:szCs w:val="28"/>
        </w:rPr>
        <w:t xml:space="preserve"> así como sus deberes de</w:t>
      </w:r>
      <w:r w:rsidR="00724925" w:rsidRPr="00CD542C">
        <w:rPr>
          <w:rFonts w:ascii="Times New Roman" w:hAnsi="Times New Roman"/>
          <w:sz w:val="28"/>
          <w:szCs w:val="28"/>
        </w:rPr>
        <w:t xml:space="preserve"> debida </w:t>
      </w:r>
      <w:r w:rsidR="00724925" w:rsidRPr="00CD542C">
        <w:rPr>
          <w:rFonts w:ascii="Times New Roman" w:hAnsi="Times New Roman"/>
          <w:sz w:val="28"/>
          <w:szCs w:val="28"/>
        </w:rPr>
        <w:lastRenderedPageBreak/>
        <w:t>diligencia en la investigación de</w:t>
      </w:r>
      <w:r w:rsidR="00D43DF4" w:rsidRPr="00CD542C">
        <w:rPr>
          <w:rFonts w:ascii="Times New Roman" w:hAnsi="Times New Roman"/>
          <w:sz w:val="28"/>
          <w:szCs w:val="28"/>
        </w:rPr>
        <w:t xml:space="preserve"> los hechos</w:t>
      </w:r>
      <w:r w:rsidR="00724925" w:rsidRPr="00CD542C">
        <w:rPr>
          <w:rFonts w:ascii="Times New Roman" w:hAnsi="Times New Roman"/>
          <w:sz w:val="28"/>
          <w:szCs w:val="28"/>
        </w:rPr>
        <w:t>, lo que a su vez</w:t>
      </w:r>
      <w:r w:rsidR="00E26471" w:rsidRPr="00CD542C">
        <w:rPr>
          <w:rFonts w:ascii="Times New Roman" w:hAnsi="Times New Roman"/>
          <w:sz w:val="28"/>
          <w:szCs w:val="28"/>
        </w:rPr>
        <w:t xml:space="preserve"> violó los derechos de</w:t>
      </w:r>
      <w:r w:rsidR="00D43DF4" w:rsidRPr="00CD542C">
        <w:rPr>
          <w:rFonts w:ascii="Times New Roman" w:hAnsi="Times New Roman"/>
          <w:sz w:val="28"/>
          <w:szCs w:val="28"/>
        </w:rPr>
        <w:t xml:space="preserve"> acceso a la justicia y las garantía</w:t>
      </w:r>
      <w:r w:rsidR="00E26471" w:rsidRPr="00CD542C">
        <w:rPr>
          <w:rFonts w:ascii="Times New Roman" w:hAnsi="Times New Roman"/>
          <w:sz w:val="28"/>
          <w:szCs w:val="28"/>
        </w:rPr>
        <w:t>s judiciales, entre otros. En esa</w:t>
      </w:r>
      <w:r w:rsidR="00D43DF4" w:rsidRPr="00CD542C">
        <w:rPr>
          <w:rFonts w:ascii="Times New Roman" w:hAnsi="Times New Roman"/>
          <w:sz w:val="28"/>
          <w:szCs w:val="28"/>
        </w:rPr>
        <w:t xml:space="preserve"> sentencia, </w:t>
      </w:r>
      <w:r w:rsidR="000A139D" w:rsidRPr="00CD542C">
        <w:rPr>
          <w:rFonts w:ascii="Times New Roman" w:hAnsi="Times New Roman"/>
          <w:sz w:val="28"/>
          <w:szCs w:val="28"/>
        </w:rPr>
        <w:t>la Corte IDH</w:t>
      </w:r>
      <w:r w:rsidR="00724925" w:rsidRPr="00CD542C">
        <w:rPr>
          <w:rFonts w:ascii="Times New Roman" w:hAnsi="Times New Roman"/>
          <w:sz w:val="28"/>
          <w:szCs w:val="28"/>
        </w:rPr>
        <w:t xml:space="preserve"> </w:t>
      </w:r>
      <w:r w:rsidR="00D43DF4" w:rsidRPr="00CD542C">
        <w:rPr>
          <w:rFonts w:ascii="Times New Roman" w:hAnsi="Times New Roman"/>
          <w:sz w:val="28"/>
          <w:szCs w:val="28"/>
        </w:rPr>
        <w:t>estableció que los homicidios de las víctimas fueron</w:t>
      </w:r>
      <w:r w:rsidR="000A139D" w:rsidRPr="00CD542C">
        <w:rPr>
          <w:rFonts w:ascii="Times New Roman" w:hAnsi="Times New Roman"/>
          <w:sz w:val="28"/>
          <w:szCs w:val="28"/>
        </w:rPr>
        <w:t xml:space="preserve"> perpetrados</w:t>
      </w:r>
      <w:r w:rsidR="00D43DF4" w:rsidRPr="00CD542C">
        <w:rPr>
          <w:rFonts w:ascii="Times New Roman" w:hAnsi="Times New Roman"/>
          <w:sz w:val="28"/>
          <w:szCs w:val="28"/>
        </w:rPr>
        <w:t xml:space="preserve"> por razones de género y estaban enmarcados dentro de un  reconocido contexto de violencia contra la mujer en Ciudad Juárez</w:t>
      </w:r>
      <w:r w:rsidR="00D43DF4" w:rsidRPr="00CD542C">
        <w:rPr>
          <w:rStyle w:val="Refdenotaalpie"/>
          <w:rFonts w:ascii="Times New Roman" w:hAnsi="Times New Roman"/>
          <w:sz w:val="28"/>
          <w:szCs w:val="28"/>
        </w:rPr>
        <w:footnoteReference w:id="98"/>
      </w:r>
      <w:r w:rsidR="00D43DF4" w:rsidRPr="00CD542C">
        <w:rPr>
          <w:rFonts w:ascii="Times New Roman" w:hAnsi="Times New Roman"/>
          <w:sz w:val="28"/>
          <w:szCs w:val="28"/>
        </w:rPr>
        <w:t xml:space="preserve">. </w:t>
      </w:r>
    </w:p>
    <w:p w:rsidR="003245A2" w:rsidRPr="00CD542C" w:rsidRDefault="003245A2" w:rsidP="00CD542C">
      <w:pPr>
        <w:spacing w:after="0" w:line="240" w:lineRule="auto"/>
        <w:jc w:val="both"/>
        <w:rPr>
          <w:rFonts w:ascii="Times New Roman" w:hAnsi="Times New Roman"/>
          <w:sz w:val="28"/>
          <w:szCs w:val="28"/>
        </w:rPr>
      </w:pPr>
    </w:p>
    <w:p w:rsidR="00216F19"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4</w:t>
      </w:r>
      <w:r w:rsidR="00775213" w:rsidRPr="00CD542C">
        <w:rPr>
          <w:rFonts w:ascii="Times New Roman" w:hAnsi="Times New Roman"/>
          <w:sz w:val="28"/>
          <w:szCs w:val="28"/>
        </w:rPr>
        <w:t>0</w:t>
      </w:r>
      <w:r w:rsidR="000A139D" w:rsidRPr="00CD542C">
        <w:rPr>
          <w:rFonts w:ascii="Times New Roman" w:hAnsi="Times New Roman"/>
          <w:sz w:val="28"/>
          <w:szCs w:val="28"/>
        </w:rPr>
        <w:t>. De otra parte, este concepto ha sido acogido por diferentes instancias internacionales de derechos humanos como una de las formas de cumplir con el deber de erradicar, prevenir, investigar y sancionar la violencia contra las mujeres. Así, l</w:t>
      </w:r>
      <w:r w:rsidR="0085543A" w:rsidRPr="00CD542C">
        <w:rPr>
          <w:rFonts w:ascii="Times New Roman" w:hAnsi="Times New Roman"/>
          <w:sz w:val="28"/>
          <w:szCs w:val="28"/>
        </w:rPr>
        <w:t xml:space="preserve">a Relatora Especial </w:t>
      </w:r>
      <w:r w:rsidR="00AB49E2" w:rsidRPr="00CD542C">
        <w:rPr>
          <w:rFonts w:ascii="Times New Roman" w:hAnsi="Times New Roman"/>
          <w:sz w:val="28"/>
          <w:szCs w:val="28"/>
        </w:rPr>
        <w:t xml:space="preserve">de Naciones Unidas </w:t>
      </w:r>
      <w:r w:rsidR="0085543A" w:rsidRPr="00CD542C">
        <w:rPr>
          <w:rFonts w:ascii="Times New Roman" w:hAnsi="Times New Roman"/>
          <w:sz w:val="28"/>
          <w:szCs w:val="28"/>
        </w:rPr>
        <w:t>sobre la</w:t>
      </w:r>
      <w:r w:rsidR="000A139D" w:rsidRPr="00CD542C">
        <w:rPr>
          <w:rFonts w:ascii="Times New Roman" w:hAnsi="Times New Roman"/>
          <w:sz w:val="28"/>
          <w:szCs w:val="28"/>
        </w:rPr>
        <w:t xml:space="preserve"> Violencia contra la Mujer sus causas y c</w:t>
      </w:r>
      <w:r w:rsidR="0085543A" w:rsidRPr="00CD542C">
        <w:rPr>
          <w:rFonts w:ascii="Times New Roman" w:hAnsi="Times New Roman"/>
          <w:sz w:val="28"/>
          <w:szCs w:val="28"/>
        </w:rPr>
        <w:t>onsecuencias, en su reporte del 2012 a la Asamblea General de las Naciones Unidas señala que los asesinatos relacionados con el género no son una nueva forma de violencia, sino representan la manifestación de formas existentes de violencia contra la mujer y los Estados tienen el deber de actuar bajo los deberes de debida diligencia en la protección y p</w:t>
      </w:r>
      <w:r w:rsidR="00F824BE" w:rsidRPr="00CD542C">
        <w:rPr>
          <w:rFonts w:ascii="Times New Roman" w:hAnsi="Times New Roman"/>
          <w:sz w:val="28"/>
          <w:szCs w:val="28"/>
        </w:rPr>
        <w:t>revención de esta violencia. De este modo</w:t>
      </w:r>
      <w:r w:rsidR="0085543A" w:rsidRPr="00CD542C">
        <w:rPr>
          <w:rFonts w:ascii="Times New Roman" w:hAnsi="Times New Roman"/>
          <w:sz w:val="28"/>
          <w:szCs w:val="28"/>
        </w:rPr>
        <w:t xml:space="preserve">, en su reporte indica que este tipo de homicidios no son incidentes accidentales o inesperados, sino </w:t>
      </w:r>
      <w:r w:rsidR="00F824BE" w:rsidRPr="00CD542C">
        <w:rPr>
          <w:rFonts w:ascii="Times New Roman" w:hAnsi="Times New Roman"/>
          <w:sz w:val="28"/>
          <w:szCs w:val="28"/>
        </w:rPr>
        <w:t xml:space="preserve">constituyen </w:t>
      </w:r>
      <w:r w:rsidR="0085543A" w:rsidRPr="00CD542C">
        <w:rPr>
          <w:rFonts w:ascii="Times New Roman" w:hAnsi="Times New Roman"/>
          <w:sz w:val="28"/>
          <w:szCs w:val="28"/>
        </w:rPr>
        <w:t xml:space="preserve">el último acto que se experimenta en un </w:t>
      </w:r>
      <w:r w:rsidR="0085543A" w:rsidRPr="00CD542C">
        <w:rPr>
          <w:rFonts w:ascii="Times New Roman" w:hAnsi="Times New Roman"/>
          <w:i/>
          <w:iCs/>
          <w:sz w:val="28"/>
          <w:szCs w:val="28"/>
        </w:rPr>
        <w:t>continuum</w:t>
      </w:r>
      <w:r w:rsidR="0085543A" w:rsidRPr="00CD542C">
        <w:rPr>
          <w:rFonts w:ascii="Times New Roman" w:hAnsi="Times New Roman"/>
          <w:sz w:val="28"/>
          <w:szCs w:val="28"/>
        </w:rPr>
        <w:t xml:space="preserve"> de violencia.  </w:t>
      </w:r>
      <w:r w:rsidR="004A5E56" w:rsidRPr="00CD542C">
        <w:rPr>
          <w:rFonts w:ascii="Times New Roman" w:hAnsi="Times New Roman"/>
          <w:sz w:val="28"/>
          <w:szCs w:val="28"/>
        </w:rPr>
        <w:t>En esta línea</w:t>
      </w:r>
      <w:r w:rsidR="00301FA2" w:rsidRPr="00CD542C">
        <w:rPr>
          <w:rFonts w:ascii="Times New Roman" w:hAnsi="Times New Roman"/>
          <w:sz w:val="28"/>
          <w:szCs w:val="28"/>
        </w:rPr>
        <w:t>, dijo que “</w:t>
      </w:r>
      <w:r w:rsidR="00301FA2" w:rsidRPr="00CD542C">
        <w:rPr>
          <w:rFonts w:ascii="Times New Roman" w:hAnsi="Times New Roman"/>
          <w:i/>
          <w:iCs/>
          <w:sz w:val="28"/>
          <w:szCs w:val="28"/>
        </w:rPr>
        <w:t>en vez de servir un propósito individual o aislado, esta violencia sigue una lógica institucional `para delinear y sostener las relaciones jerárquicas sociales de raza, género, sexualidad y clase y, por lo tanto, perpetuar la desigualdad d</w:t>
      </w:r>
      <w:r w:rsidR="00F824BE" w:rsidRPr="00CD542C">
        <w:rPr>
          <w:rFonts w:ascii="Times New Roman" w:hAnsi="Times New Roman"/>
          <w:i/>
          <w:iCs/>
          <w:sz w:val="28"/>
          <w:szCs w:val="28"/>
        </w:rPr>
        <w:t>e las comunidades marginadas</w:t>
      </w:r>
      <w:r w:rsidR="004A5E56" w:rsidRPr="00CD542C">
        <w:rPr>
          <w:rFonts w:ascii="Times New Roman" w:hAnsi="Times New Roman"/>
          <w:i/>
          <w:iCs/>
          <w:sz w:val="28"/>
          <w:szCs w:val="28"/>
        </w:rPr>
        <w:t>´</w:t>
      </w:r>
      <w:r w:rsidR="00301FA2" w:rsidRPr="00CD542C">
        <w:rPr>
          <w:rFonts w:ascii="Times New Roman" w:hAnsi="Times New Roman"/>
          <w:sz w:val="28"/>
          <w:szCs w:val="28"/>
        </w:rPr>
        <w:t>”</w:t>
      </w:r>
      <w:r w:rsidR="00301FA2" w:rsidRPr="00CD542C">
        <w:rPr>
          <w:rStyle w:val="Refdenotaalpie"/>
          <w:rFonts w:ascii="Times New Roman" w:hAnsi="Times New Roman"/>
          <w:sz w:val="28"/>
          <w:szCs w:val="28"/>
        </w:rPr>
        <w:footnoteReference w:id="99"/>
      </w:r>
      <w:r w:rsidR="00301FA2" w:rsidRPr="00CD542C">
        <w:rPr>
          <w:rFonts w:ascii="Times New Roman" w:hAnsi="Times New Roman"/>
          <w:sz w:val="28"/>
          <w:szCs w:val="28"/>
        </w:rPr>
        <w:t>.</w:t>
      </w:r>
      <w:r w:rsidR="006570D9" w:rsidRPr="00CD542C">
        <w:rPr>
          <w:rFonts w:ascii="Times New Roman" w:hAnsi="Times New Roman"/>
          <w:sz w:val="28"/>
          <w:szCs w:val="28"/>
        </w:rPr>
        <w:t xml:space="preserve"> </w:t>
      </w:r>
    </w:p>
    <w:p w:rsidR="00216F19" w:rsidRPr="00CD542C" w:rsidRDefault="00216F19" w:rsidP="00CD542C">
      <w:pPr>
        <w:spacing w:after="0" w:line="240" w:lineRule="auto"/>
        <w:jc w:val="both"/>
        <w:rPr>
          <w:rFonts w:ascii="Times New Roman" w:hAnsi="Times New Roman"/>
          <w:sz w:val="28"/>
          <w:szCs w:val="28"/>
        </w:rPr>
      </w:pPr>
    </w:p>
    <w:p w:rsidR="00EF1505" w:rsidRPr="00CD542C" w:rsidRDefault="006570D9"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A su vez, </w:t>
      </w:r>
      <w:r w:rsidR="00216F19" w:rsidRPr="00CD542C">
        <w:rPr>
          <w:rFonts w:ascii="Times New Roman" w:hAnsi="Times New Roman"/>
          <w:sz w:val="28"/>
          <w:szCs w:val="28"/>
        </w:rPr>
        <w:t xml:space="preserve">la Relatora </w:t>
      </w:r>
      <w:r w:rsidRPr="00CD542C">
        <w:rPr>
          <w:rFonts w:ascii="Times New Roman" w:hAnsi="Times New Roman"/>
          <w:sz w:val="28"/>
          <w:szCs w:val="28"/>
        </w:rPr>
        <w:t xml:space="preserve">caracterizó los feminicidios como directos o indirectos. Los directos incluyen, entre otros, los asesinatos </w:t>
      </w:r>
      <w:r w:rsidR="00E26471" w:rsidRPr="00CD542C">
        <w:rPr>
          <w:rFonts w:ascii="Times New Roman" w:hAnsi="Times New Roman"/>
          <w:sz w:val="28"/>
          <w:szCs w:val="28"/>
        </w:rPr>
        <w:t>como resultado de la violencia í</w:t>
      </w:r>
      <w:r w:rsidRPr="00CD542C">
        <w:rPr>
          <w:rFonts w:ascii="Times New Roman" w:hAnsi="Times New Roman"/>
          <w:sz w:val="28"/>
          <w:szCs w:val="28"/>
        </w:rPr>
        <w:t xml:space="preserve">ntima o de pareja, la brujería, los homicidios de honor, los relacionados con el conflicto armado, con la dote, la identidad de género y </w:t>
      </w:r>
      <w:r w:rsidR="00F824BE" w:rsidRPr="00CD542C">
        <w:rPr>
          <w:rFonts w:ascii="Times New Roman" w:hAnsi="Times New Roman"/>
          <w:sz w:val="28"/>
          <w:szCs w:val="28"/>
        </w:rPr>
        <w:t xml:space="preserve">la identidad </w:t>
      </w:r>
      <w:r w:rsidRPr="00CD542C">
        <w:rPr>
          <w:rFonts w:ascii="Times New Roman" w:hAnsi="Times New Roman"/>
          <w:sz w:val="28"/>
          <w:szCs w:val="28"/>
        </w:rPr>
        <w:t>se</w:t>
      </w:r>
      <w:r w:rsidR="00E26471" w:rsidRPr="00CD542C">
        <w:rPr>
          <w:rFonts w:ascii="Times New Roman" w:hAnsi="Times New Roman"/>
          <w:sz w:val="28"/>
          <w:szCs w:val="28"/>
        </w:rPr>
        <w:t xml:space="preserve">xual y los relacionados con la </w:t>
      </w:r>
      <w:r w:rsidR="009F216B" w:rsidRPr="00CD542C">
        <w:rPr>
          <w:rFonts w:ascii="Times New Roman" w:hAnsi="Times New Roman"/>
          <w:sz w:val="28"/>
          <w:szCs w:val="28"/>
        </w:rPr>
        <w:t>etnia</w:t>
      </w:r>
      <w:r w:rsidRPr="00CD542C">
        <w:rPr>
          <w:rFonts w:ascii="Times New Roman" w:hAnsi="Times New Roman"/>
          <w:sz w:val="28"/>
          <w:szCs w:val="28"/>
        </w:rPr>
        <w:t xml:space="preserve"> o la identidad indígena. De otra parte, sostuvo que los in</w:t>
      </w:r>
      <w:r w:rsidR="00F824BE" w:rsidRPr="00CD542C">
        <w:rPr>
          <w:rFonts w:ascii="Times New Roman" w:hAnsi="Times New Roman"/>
          <w:sz w:val="28"/>
          <w:szCs w:val="28"/>
        </w:rPr>
        <w:t>directos incluyen las muertes por</w:t>
      </w:r>
      <w:r w:rsidRPr="00CD542C">
        <w:rPr>
          <w:rFonts w:ascii="Times New Roman" w:hAnsi="Times New Roman"/>
          <w:sz w:val="28"/>
          <w:szCs w:val="28"/>
        </w:rPr>
        <w:t xml:space="preserve"> abortos clandestinos o </w:t>
      </w:r>
      <w:r w:rsidR="00F824BE" w:rsidRPr="00CD542C">
        <w:rPr>
          <w:rFonts w:ascii="Times New Roman" w:hAnsi="Times New Roman"/>
          <w:sz w:val="28"/>
          <w:szCs w:val="28"/>
        </w:rPr>
        <w:t xml:space="preserve">por </w:t>
      </w:r>
      <w:r w:rsidRPr="00CD542C">
        <w:rPr>
          <w:rFonts w:ascii="Times New Roman" w:hAnsi="Times New Roman"/>
          <w:sz w:val="28"/>
          <w:szCs w:val="28"/>
        </w:rPr>
        <w:t>prácticas dañinas como la mutilación genital femenina, la mortalidad materna</w:t>
      </w:r>
      <w:r w:rsidR="00574860" w:rsidRPr="00CD542C">
        <w:rPr>
          <w:rFonts w:ascii="Times New Roman" w:hAnsi="Times New Roman"/>
          <w:sz w:val="28"/>
          <w:szCs w:val="28"/>
        </w:rPr>
        <w:t>, las muertes relacionadas con el tráfico</w:t>
      </w:r>
      <w:r w:rsidR="00132DCA" w:rsidRPr="00CD542C">
        <w:rPr>
          <w:rFonts w:ascii="Times New Roman" w:hAnsi="Times New Roman"/>
          <w:sz w:val="28"/>
          <w:szCs w:val="28"/>
        </w:rPr>
        <w:t xml:space="preserve"> humano, el cr</w:t>
      </w:r>
      <w:r w:rsidR="00E26471" w:rsidRPr="00CD542C">
        <w:rPr>
          <w:rFonts w:ascii="Times New Roman" w:hAnsi="Times New Roman"/>
          <w:sz w:val="28"/>
          <w:szCs w:val="28"/>
        </w:rPr>
        <w:t>imen organizado y la activada por</w:t>
      </w:r>
      <w:r w:rsidR="00132DCA" w:rsidRPr="00CD542C">
        <w:rPr>
          <w:rFonts w:ascii="Times New Roman" w:hAnsi="Times New Roman"/>
          <w:sz w:val="28"/>
          <w:szCs w:val="28"/>
        </w:rPr>
        <w:t xml:space="preserve"> las pandillas, entre otros. </w:t>
      </w:r>
      <w:r w:rsidRPr="00CD542C">
        <w:rPr>
          <w:rFonts w:ascii="Times New Roman" w:hAnsi="Times New Roman"/>
          <w:sz w:val="28"/>
          <w:szCs w:val="28"/>
        </w:rPr>
        <w:t xml:space="preserve"> </w:t>
      </w:r>
    </w:p>
    <w:p w:rsidR="00344A7A" w:rsidRPr="00CD542C" w:rsidRDefault="00344A7A" w:rsidP="00CD542C">
      <w:pPr>
        <w:spacing w:after="0" w:line="240" w:lineRule="auto"/>
        <w:jc w:val="both"/>
        <w:rPr>
          <w:rFonts w:ascii="Times New Roman" w:hAnsi="Times New Roman"/>
          <w:sz w:val="28"/>
          <w:szCs w:val="28"/>
        </w:rPr>
      </w:pPr>
    </w:p>
    <w:p w:rsidR="009F3A04"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lastRenderedPageBreak/>
        <w:t>4</w:t>
      </w:r>
      <w:r w:rsidR="00775213" w:rsidRPr="00CD542C">
        <w:rPr>
          <w:rFonts w:ascii="Times New Roman" w:hAnsi="Times New Roman"/>
          <w:sz w:val="28"/>
          <w:szCs w:val="28"/>
        </w:rPr>
        <w:t>1</w:t>
      </w:r>
      <w:r w:rsidR="00F824BE" w:rsidRPr="00CD542C">
        <w:rPr>
          <w:rFonts w:ascii="Times New Roman" w:hAnsi="Times New Roman"/>
          <w:sz w:val="28"/>
          <w:szCs w:val="28"/>
        </w:rPr>
        <w:t xml:space="preserve">. </w:t>
      </w:r>
      <w:r w:rsidR="003F0058" w:rsidRPr="00CD542C">
        <w:rPr>
          <w:rFonts w:ascii="Times New Roman" w:hAnsi="Times New Roman"/>
          <w:sz w:val="28"/>
          <w:szCs w:val="28"/>
        </w:rPr>
        <w:t>En este sentido, la doctrina y los pronunciamientos de</w:t>
      </w:r>
      <w:r w:rsidR="000423E8" w:rsidRPr="00CD542C">
        <w:rPr>
          <w:rFonts w:ascii="Times New Roman" w:hAnsi="Times New Roman"/>
          <w:sz w:val="28"/>
          <w:szCs w:val="28"/>
        </w:rPr>
        <w:t xml:space="preserve"> diferentes organismos de Naciones U</w:t>
      </w:r>
      <w:r w:rsidR="003F0058" w:rsidRPr="00CD542C">
        <w:rPr>
          <w:rFonts w:ascii="Times New Roman" w:hAnsi="Times New Roman"/>
          <w:sz w:val="28"/>
          <w:szCs w:val="28"/>
        </w:rPr>
        <w:t xml:space="preserve">nidas han establecido que </w:t>
      </w:r>
      <w:r w:rsidR="00E26471" w:rsidRPr="00CD542C">
        <w:rPr>
          <w:rFonts w:ascii="Times New Roman" w:hAnsi="Times New Roman"/>
          <w:sz w:val="28"/>
          <w:szCs w:val="28"/>
        </w:rPr>
        <w:t>los homicidios en razón del</w:t>
      </w:r>
      <w:r w:rsidR="003F0058" w:rsidRPr="00CD542C">
        <w:rPr>
          <w:rFonts w:ascii="Times New Roman" w:hAnsi="Times New Roman"/>
          <w:sz w:val="28"/>
          <w:szCs w:val="28"/>
        </w:rPr>
        <w:t xml:space="preserve"> género requieren tener en consideración el contexto político, social y económico</w:t>
      </w:r>
      <w:r w:rsidR="000423E8" w:rsidRPr="00CD542C">
        <w:rPr>
          <w:rFonts w:ascii="Times New Roman" w:hAnsi="Times New Roman"/>
          <w:sz w:val="28"/>
          <w:szCs w:val="28"/>
        </w:rPr>
        <w:t>,</w:t>
      </w:r>
      <w:r w:rsidR="003F0058" w:rsidRPr="00CD542C">
        <w:rPr>
          <w:rFonts w:ascii="Times New Roman" w:hAnsi="Times New Roman"/>
          <w:sz w:val="28"/>
          <w:szCs w:val="28"/>
        </w:rPr>
        <w:t xml:space="preserve"> así como “</w:t>
      </w:r>
      <w:r w:rsidR="003F0058" w:rsidRPr="00CD542C">
        <w:rPr>
          <w:rFonts w:ascii="Times New Roman" w:hAnsi="Times New Roman"/>
          <w:i/>
          <w:iCs/>
          <w:sz w:val="28"/>
          <w:szCs w:val="28"/>
        </w:rPr>
        <w:t>las respuestas de los hombres al empoderamiento de la mujer; las reacciones políticas, legales y sociales a esos asesinatos; el principio del continuum de violencia; y patrones de discriminación estructural y desigualdad que hacen parte de la realidad que las mujeres viven</w:t>
      </w:r>
      <w:r w:rsidR="003F0058" w:rsidRPr="00CD542C">
        <w:rPr>
          <w:rFonts w:ascii="Times New Roman" w:hAnsi="Times New Roman"/>
          <w:sz w:val="28"/>
          <w:szCs w:val="28"/>
        </w:rPr>
        <w:t>”</w:t>
      </w:r>
      <w:r w:rsidR="003F0058" w:rsidRPr="00CD542C">
        <w:rPr>
          <w:rStyle w:val="Refdenotaalpie"/>
          <w:rFonts w:ascii="Times New Roman" w:hAnsi="Times New Roman"/>
          <w:sz w:val="28"/>
          <w:szCs w:val="28"/>
        </w:rPr>
        <w:footnoteReference w:id="100"/>
      </w:r>
      <w:r w:rsidR="003F0058" w:rsidRPr="00CD542C">
        <w:rPr>
          <w:rFonts w:ascii="Times New Roman" w:hAnsi="Times New Roman"/>
          <w:sz w:val="28"/>
          <w:szCs w:val="28"/>
        </w:rPr>
        <w:t>.</w:t>
      </w:r>
      <w:r w:rsidR="00F104A0" w:rsidRPr="00CD542C">
        <w:rPr>
          <w:rFonts w:ascii="Times New Roman" w:hAnsi="Times New Roman"/>
          <w:sz w:val="28"/>
          <w:szCs w:val="28"/>
        </w:rPr>
        <w:t xml:space="preserve"> Así, el Modelo Protocolo latinoamericano de investigación de las muertes violentas de mujeres por razones de género (femicidio/feminicidio)</w:t>
      </w:r>
      <w:r w:rsidR="00053779" w:rsidRPr="00CD542C">
        <w:rPr>
          <w:rFonts w:ascii="Times New Roman" w:hAnsi="Times New Roman"/>
          <w:sz w:val="28"/>
          <w:szCs w:val="28"/>
        </w:rPr>
        <w:t xml:space="preserve"> de ONU Mujeres, la Oficina del Alto Comisionado de Derechos Humanos en América Central, y la Campaña latinoamericana para poner fin a la violencia contra las mujeres Únete sostiene que el feminicidio corresponde a “</w:t>
      </w:r>
      <w:r w:rsidR="00053779" w:rsidRPr="00CD542C">
        <w:rPr>
          <w:rFonts w:ascii="Times New Roman" w:hAnsi="Times New Roman"/>
          <w:i/>
          <w:iCs/>
          <w:sz w:val="28"/>
          <w:szCs w:val="28"/>
        </w:rPr>
        <w:t>los asesinatos realizados por varones motivados por un sentido de tener derecho a ello o superioridad sobre las mujeres, por placer o deseos sádicos hacía ellas, o la suposición de propiedad de las mujeres</w:t>
      </w:r>
      <w:r w:rsidR="00053779" w:rsidRPr="00CD542C">
        <w:rPr>
          <w:rFonts w:ascii="Times New Roman" w:hAnsi="Times New Roman"/>
          <w:sz w:val="28"/>
          <w:szCs w:val="28"/>
        </w:rPr>
        <w:t>”</w:t>
      </w:r>
      <w:r w:rsidR="00053779" w:rsidRPr="00CD542C">
        <w:rPr>
          <w:rStyle w:val="Refdenotaalpie"/>
          <w:rFonts w:ascii="Times New Roman" w:hAnsi="Times New Roman"/>
          <w:sz w:val="28"/>
          <w:szCs w:val="28"/>
        </w:rPr>
        <w:footnoteReference w:id="101"/>
      </w:r>
      <w:r w:rsidR="00053779" w:rsidRPr="00CD542C">
        <w:rPr>
          <w:rFonts w:ascii="Times New Roman" w:hAnsi="Times New Roman"/>
          <w:sz w:val="28"/>
          <w:szCs w:val="28"/>
        </w:rPr>
        <w:t xml:space="preserve">. </w:t>
      </w:r>
    </w:p>
    <w:p w:rsidR="009F3A04" w:rsidRPr="00CD542C" w:rsidRDefault="009F3A04" w:rsidP="00CD542C">
      <w:pPr>
        <w:spacing w:after="0" w:line="240" w:lineRule="auto"/>
        <w:jc w:val="both"/>
        <w:rPr>
          <w:rFonts w:ascii="Times New Roman" w:hAnsi="Times New Roman"/>
          <w:sz w:val="28"/>
          <w:szCs w:val="28"/>
        </w:rPr>
      </w:pPr>
    </w:p>
    <w:p w:rsidR="00E91518"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4</w:t>
      </w:r>
      <w:r w:rsidR="00775213" w:rsidRPr="00CD542C">
        <w:rPr>
          <w:rFonts w:ascii="Times New Roman" w:hAnsi="Times New Roman"/>
          <w:sz w:val="28"/>
          <w:szCs w:val="28"/>
        </w:rPr>
        <w:t>2</w:t>
      </w:r>
      <w:r w:rsidR="00F824BE" w:rsidRPr="00CD542C">
        <w:rPr>
          <w:rFonts w:ascii="Times New Roman" w:hAnsi="Times New Roman"/>
          <w:sz w:val="28"/>
          <w:szCs w:val="28"/>
        </w:rPr>
        <w:t>. Por su parte, e</w:t>
      </w:r>
      <w:r w:rsidR="00053779" w:rsidRPr="00CD542C">
        <w:rPr>
          <w:rFonts w:ascii="Times New Roman" w:hAnsi="Times New Roman"/>
          <w:sz w:val="28"/>
          <w:szCs w:val="28"/>
        </w:rPr>
        <w:t>l Modelo de Protocolo fundamenta el deber de tipificar el feminici</w:t>
      </w:r>
      <w:r w:rsidR="00AD7318" w:rsidRPr="00CD542C">
        <w:rPr>
          <w:rFonts w:ascii="Times New Roman" w:hAnsi="Times New Roman"/>
          <w:sz w:val="28"/>
          <w:szCs w:val="28"/>
        </w:rPr>
        <w:t>dio en las obligaciones</w:t>
      </w:r>
      <w:r w:rsidR="00053779" w:rsidRPr="00CD542C">
        <w:rPr>
          <w:rFonts w:ascii="Times New Roman" w:hAnsi="Times New Roman"/>
          <w:sz w:val="28"/>
          <w:szCs w:val="28"/>
        </w:rPr>
        <w:t xml:space="preserve"> de debida diligencia de los Estados</w:t>
      </w:r>
      <w:r w:rsidR="00793F44" w:rsidRPr="00CD542C">
        <w:rPr>
          <w:rFonts w:ascii="Times New Roman" w:hAnsi="Times New Roman"/>
          <w:sz w:val="28"/>
          <w:szCs w:val="28"/>
        </w:rPr>
        <w:t xml:space="preserve"> en la  erradicación, prevención, investigación, sanción de todo tipo de violencia contra la Mujer</w:t>
      </w:r>
      <w:r w:rsidR="00053779" w:rsidRPr="00CD542C">
        <w:rPr>
          <w:rFonts w:ascii="Times New Roman" w:hAnsi="Times New Roman"/>
          <w:sz w:val="28"/>
          <w:szCs w:val="28"/>
        </w:rPr>
        <w:t xml:space="preserve"> que se desprenden particularmente de la Convención de Belém do Par</w:t>
      </w:r>
      <w:r w:rsidR="00793F44" w:rsidRPr="00CD542C">
        <w:rPr>
          <w:rFonts w:ascii="Times New Roman" w:hAnsi="Times New Roman"/>
          <w:sz w:val="28"/>
          <w:szCs w:val="28"/>
        </w:rPr>
        <w:t xml:space="preserve">á y que también han sido plasmados en la Declaración de las Naciones Unidas </w:t>
      </w:r>
      <w:r w:rsidR="009F3A04" w:rsidRPr="00CD542C">
        <w:rPr>
          <w:rFonts w:ascii="Times New Roman" w:hAnsi="Times New Roman"/>
          <w:sz w:val="28"/>
          <w:szCs w:val="28"/>
        </w:rPr>
        <w:t>sobre la E</w:t>
      </w:r>
      <w:r w:rsidR="00AD7318" w:rsidRPr="00CD542C">
        <w:rPr>
          <w:rFonts w:ascii="Times New Roman" w:hAnsi="Times New Roman"/>
          <w:sz w:val="28"/>
          <w:szCs w:val="28"/>
        </w:rPr>
        <w:t>liminación de la Violencia contra la M</w:t>
      </w:r>
      <w:r w:rsidR="00793F44" w:rsidRPr="00CD542C">
        <w:rPr>
          <w:rFonts w:ascii="Times New Roman" w:hAnsi="Times New Roman"/>
          <w:sz w:val="28"/>
          <w:szCs w:val="28"/>
        </w:rPr>
        <w:t xml:space="preserve">ujer y en la Recomendación General </w:t>
      </w:r>
      <w:r w:rsidR="009F3A04" w:rsidRPr="00CD542C">
        <w:rPr>
          <w:rFonts w:ascii="Times New Roman" w:hAnsi="Times New Roman"/>
          <w:sz w:val="28"/>
          <w:szCs w:val="28"/>
        </w:rPr>
        <w:t xml:space="preserve">No. 19 </w:t>
      </w:r>
      <w:r w:rsidR="00793F44" w:rsidRPr="00CD542C">
        <w:rPr>
          <w:rFonts w:ascii="Times New Roman" w:hAnsi="Times New Roman"/>
          <w:sz w:val="28"/>
          <w:szCs w:val="28"/>
        </w:rPr>
        <w:t>del Comité que monitoreo la Convención para la Eliminación de Todas las Formas de Discriminación contra la Mujer (Comité CEDAW)</w:t>
      </w:r>
      <w:r w:rsidR="009F3A04" w:rsidRPr="00CD542C">
        <w:rPr>
          <w:rFonts w:ascii="Times New Roman" w:hAnsi="Times New Roman"/>
          <w:sz w:val="28"/>
          <w:szCs w:val="28"/>
        </w:rPr>
        <w:t>.</w:t>
      </w:r>
      <w:r w:rsidR="00031B84" w:rsidRPr="00CD542C">
        <w:rPr>
          <w:rFonts w:ascii="Times New Roman" w:hAnsi="Times New Roman"/>
          <w:sz w:val="28"/>
          <w:szCs w:val="28"/>
        </w:rPr>
        <w:t xml:space="preserve"> </w:t>
      </w:r>
    </w:p>
    <w:p w:rsidR="00E91518" w:rsidRPr="00CD542C" w:rsidRDefault="00E91518" w:rsidP="00CD542C">
      <w:pPr>
        <w:spacing w:after="0" w:line="240" w:lineRule="auto"/>
        <w:jc w:val="both"/>
        <w:rPr>
          <w:rFonts w:ascii="Times New Roman" w:hAnsi="Times New Roman"/>
          <w:sz w:val="28"/>
          <w:szCs w:val="28"/>
        </w:rPr>
      </w:pPr>
    </w:p>
    <w:p w:rsidR="0032222C" w:rsidRPr="00CD542C" w:rsidRDefault="00031B84"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En </w:t>
      </w:r>
      <w:r w:rsidR="00E91518" w:rsidRPr="00CD542C">
        <w:rPr>
          <w:rFonts w:ascii="Times New Roman" w:hAnsi="Times New Roman"/>
          <w:sz w:val="28"/>
          <w:szCs w:val="28"/>
        </w:rPr>
        <w:t xml:space="preserve">este </w:t>
      </w:r>
      <w:r w:rsidRPr="00CD542C">
        <w:rPr>
          <w:rFonts w:ascii="Times New Roman" w:hAnsi="Times New Roman"/>
          <w:sz w:val="28"/>
          <w:szCs w:val="28"/>
        </w:rPr>
        <w:t xml:space="preserve">sentido, también indica que el feminicidio atiende a un contexto de discriminación, pero establece que no todo homicidio de una mujer puede ser determinado como un feminicidio, </w:t>
      </w:r>
      <w:r w:rsidR="00937AFA" w:rsidRPr="00CD542C">
        <w:rPr>
          <w:rFonts w:ascii="Times New Roman" w:hAnsi="Times New Roman"/>
          <w:sz w:val="28"/>
          <w:szCs w:val="28"/>
        </w:rPr>
        <w:t>así dice que “</w:t>
      </w:r>
      <w:r w:rsidR="00937AFA" w:rsidRPr="00CD542C">
        <w:rPr>
          <w:rFonts w:ascii="Times New Roman" w:hAnsi="Times New Roman"/>
          <w:i/>
          <w:iCs/>
          <w:sz w:val="28"/>
          <w:szCs w:val="28"/>
        </w:rPr>
        <w:t>con el fin de establecer la especificidad del fenómeno delictivo, deben ser considerados como femicidios las muertes violentas de mujeres que denotan una motivación especial o un contexto que se funda en una cultura de violencia y discriminación por razones de género</w:t>
      </w:r>
      <w:r w:rsidR="00937AFA" w:rsidRPr="00CD542C">
        <w:rPr>
          <w:rFonts w:ascii="Times New Roman" w:hAnsi="Times New Roman"/>
          <w:sz w:val="28"/>
          <w:szCs w:val="28"/>
        </w:rPr>
        <w:t>”</w:t>
      </w:r>
      <w:r w:rsidR="00937AFA" w:rsidRPr="00CD542C">
        <w:rPr>
          <w:rStyle w:val="Refdenotaalpie"/>
          <w:rFonts w:ascii="Times New Roman" w:hAnsi="Times New Roman"/>
          <w:sz w:val="28"/>
          <w:szCs w:val="28"/>
        </w:rPr>
        <w:footnoteReference w:id="102"/>
      </w:r>
      <w:r w:rsidR="00937AFA" w:rsidRPr="00CD542C">
        <w:rPr>
          <w:rFonts w:ascii="Times New Roman" w:hAnsi="Times New Roman"/>
          <w:sz w:val="28"/>
          <w:szCs w:val="28"/>
        </w:rPr>
        <w:t xml:space="preserve">. </w:t>
      </w:r>
      <w:r w:rsidR="00E26471" w:rsidRPr="00CD542C">
        <w:rPr>
          <w:rFonts w:ascii="Times New Roman" w:hAnsi="Times New Roman"/>
          <w:sz w:val="28"/>
          <w:szCs w:val="28"/>
        </w:rPr>
        <w:t>De este modo</w:t>
      </w:r>
      <w:r w:rsidRPr="00CD542C">
        <w:rPr>
          <w:rFonts w:ascii="Times New Roman" w:hAnsi="Times New Roman"/>
          <w:sz w:val="28"/>
          <w:szCs w:val="28"/>
        </w:rPr>
        <w:t xml:space="preserve">, caracteriza tres tipos de feminicidio, sin ser éstos exhaustivos: el feminicidio </w:t>
      </w:r>
      <w:r w:rsidR="00937AFA" w:rsidRPr="00CD542C">
        <w:rPr>
          <w:rFonts w:ascii="Times New Roman" w:hAnsi="Times New Roman"/>
          <w:sz w:val="28"/>
          <w:szCs w:val="28"/>
        </w:rPr>
        <w:t>í</w:t>
      </w:r>
      <w:r w:rsidRPr="00CD542C">
        <w:rPr>
          <w:rFonts w:ascii="Times New Roman" w:hAnsi="Times New Roman"/>
          <w:sz w:val="28"/>
          <w:szCs w:val="28"/>
        </w:rPr>
        <w:t xml:space="preserve">ntimo o familiar cuyo elemento determinante en la intención del homicidio en razón al género corresponde al trato de la mujer como posesión; el feminicidio sexual en el que la </w:t>
      </w:r>
      <w:r w:rsidR="00CF3D83" w:rsidRPr="00CD542C">
        <w:rPr>
          <w:rFonts w:ascii="Times New Roman" w:hAnsi="Times New Roman"/>
          <w:sz w:val="28"/>
          <w:szCs w:val="28"/>
        </w:rPr>
        <w:t xml:space="preserve">intención responde a que la </w:t>
      </w:r>
      <w:r w:rsidRPr="00CD542C">
        <w:rPr>
          <w:rFonts w:ascii="Times New Roman" w:hAnsi="Times New Roman"/>
          <w:sz w:val="28"/>
          <w:szCs w:val="28"/>
        </w:rPr>
        <w:t xml:space="preserve">mujer es un objeto para usar y desechar y el feminicidio en el contexto de grupo </w:t>
      </w:r>
      <w:r w:rsidR="00E91518" w:rsidRPr="00CD542C">
        <w:rPr>
          <w:rFonts w:ascii="Times New Roman" w:hAnsi="Times New Roman"/>
          <w:sz w:val="28"/>
          <w:szCs w:val="28"/>
        </w:rPr>
        <w:t>que se refiere a los “</w:t>
      </w:r>
      <w:r w:rsidR="00E91518" w:rsidRPr="00CD542C">
        <w:rPr>
          <w:rFonts w:ascii="Times New Roman" w:hAnsi="Times New Roman"/>
          <w:i/>
          <w:iCs/>
          <w:sz w:val="28"/>
          <w:szCs w:val="28"/>
        </w:rPr>
        <w:t xml:space="preserve">cometidos dentro de una relación grupal en la que, además de los factores socio-culturales del contexto en el que se forma el grupo, las relaciones entre el agresor y la víctima vienen </w:t>
      </w:r>
      <w:r w:rsidR="00E91518" w:rsidRPr="00CD542C">
        <w:rPr>
          <w:rFonts w:ascii="Times New Roman" w:hAnsi="Times New Roman"/>
          <w:i/>
          <w:iCs/>
          <w:sz w:val="28"/>
          <w:szCs w:val="28"/>
        </w:rPr>
        <w:lastRenderedPageBreak/>
        <w:t>determinadas por las referencias internas del propio grupo, la dinámica existente dentro de este y la relación particular del agresor con la víctima</w:t>
      </w:r>
      <w:r w:rsidR="00E91518" w:rsidRPr="00CD542C">
        <w:rPr>
          <w:rFonts w:ascii="Times New Roman" w:hAnsi="Times New Roman"/>
          <w:sz w:val="28"/>
          <w:szCs w:val="28"/>
        </w:rPr>
        <w:t>”</w:t>
      </w:r>
      <w:r w:rsidR="00E91518" w:rsidRPr="00CD542C">
        <w:rPr>
          <w:rStyle w:val="Refdenotaalpie"/>
          <w:rFonts w:ascii="Times New Roman" w:hAnsi="Times New Roman"/>
          <w:sz w:val="28"/>
          <w:szCs w:val="28"/>
        </w:rPr>
        <w:footnoteReference w:id="103"/>
      </w:r>
      <w:r w:rsidR="00E91518" w:rsidRPr="00CD542C">
        <w:rPr>
          <w:rFonts w:ascii="Times New Roman" w:hAnsi="Times New Roman"/>
          <w:sz w:val="28"/>
          <w:szCs w:val="28"/>
        </w:rPr>
        <w:t>.</w:t>
      </w:r>
    </w:p>
    <w:p w:rsidR="00026DD2" w:rsidRPr="00CD542C" w:rsidRDefault="00026DD2" w:rsidP="00CD542C">
      <w:pPr>
        <w:spacing w:after="0" w:line="240" w:lineRule="auto"/>
        <w:jc w:val="both"/>
        <w:rPr>
          <w:rFonts w:ascii="Times New Roman" w:hAnsi="Times New Roman"/>
          <w:sz w:val="28"/>
          <w:szCs w:val="28"/>
        </w:rPr>
      </w:pPr>
    </w:p>
    <w:p w:rsidR="003B2A28"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4</w:t>
      </w:r>
      <w:r w:rsidR="00775213" w:rsidRPr="00CD542C">
        <w:rPr>
          <w:rFonts w:ascii="Times New Roman" w:hAnsi="Times New Roman"/>
          <w:sz w:val="28"/>
          <w:szCs w:val="28"/>
        </w:rPr>
        <w:t xml:space="preserve">3. </w:t>
      </w:r>
      <w:r w:rsidR="00026DD2" w:rsidRPr="00CD542C">
        <w:rPr>
          <w:rFonts w:ascii="Times New Roman" w:hAnsi="Times New Roman"/>
          <w:sz w:val="28"/>
          <w:szCs w:val="28"/>
        </w:rPr>
        <w:t>De acuerdo con lo anterior, la finalidad de la tipificación del feminicidio como delito responde a la protección</w:t>
      </w:r>
      <w:r w:rsidR="00D66E95" w:rsidRPr="00CD542C">
        <w:rPr>
          <w:rFonts w:ascii="Times New Roman" w:hAnsi="Times New Roman"/>
          <w:sz w:val="28"/>
          <w:szCs w:val="28"/>
        </w:rPr>
        <w:t>,</w:t>
      </w:r>
      <w:r w:rsidR="00026DD2" w:rsidRPr="00CD542C">
        <w:rPr>
          <w:rFonts w:ascii="Times New Roman" w:hAnsi="Times New Roman"/>
          <w:sz w:val="28"/>
          <w:szCs w:val="28"/>
        </w:rPr>
        <w:t xml:space="preserve"> mediante el derecho penal</w:t>
      </w:r>
      <w:r w:rsidR="00D66E95" w:rsidRPr="00CD542C">
        <w:rPr>
          <w:rFonts w:ascii="Times New Roman" w:hAnsi="Times New Roman"/>
          <w:sz w:val="28"/>
          <w:szCs w:val="28"/>
        </w:rPr>
        <w:t>,</w:t>
      </w:r>
      <w:r w:rsidR="00026DD2" w:rsidRPr="00CD542C">
        <w:rPr>
          <w:rFonts w:ascii="Times New Roman" w:hAnsi="Times New Roman"/>
          <w:sz w:val="28"/>
          <w:szCs w:val="28"/>
        </w:rPr>
        <w:t xml:space="preserve"> de diversos bienes jurídicos má</w:t>
      </w:r>
      <w:r w:rsidR="00775213" w:rsidRPr="00CD542C">
        <w:rPr>
          <w:rFonts w:ascii="Times New Roman" w:hAnsi="Times New Roman"/>
          <w:sz w:val="28"/>
          <w:szCs w:val="28"/>
        </w:rPr>
        <w:t>s allá de la vida de la</w:t>
      </w:r>
      <w:r w:rsidR="00510F7F" w:rsidRPr="00CD542C">
        <w:rPr>
          <w:rFonts w:ascii="Times New Roman" w:hAnsi="Times New Roman"/>
          <w:sz w:val="28"/>
          <w:szCs w:val="28"/>
        </w:rPr>
        <w:t xml:space="preserve"> mujer</w:t>
      </w:r>
      <w:r w:rsidR="00026DD2" w:rsidRPr="00CD542C">
        <w:rPr>
          <w:rFonts w:ascii="Times New Roman" w:hAnsi="Times New Roman"/>
          <w:sz w:val="28"/>
          <w:szCs w:val="28"/>
        </w:rPr>
        <w:t>. Esto constituye una respuesta a condiciones de discriminación estructurales que</w:t>
      </w:r>
      <w:r w:rsidR="000A10AE" w:rsidRPr="00CD542C">
        <w:rPr>
          <w:rFonts w:ascii="Times New Roman" w:hAnsi="Times New Roman"/>
          <w:sz w:val="28"/>
          <w:szCs w:val="28"/>
        </w:rPr>
        <w:t xml:space="preserve"> </w:t>
      </w:r>
      <w:r w:rsidR="00026DD2" w:rsidRPr="00CD542C">
        <w:rPr>
          <w:rFonts w:ascii="Times New Roman" w:hAnsi="Times New Roman"/>
          <w:sz w:val="28"/>
          <w:szCs w:val="28"/>
        </w:rPr>
        <w:t>hacen</w:t>
      </w:r>
      <w:r w:rsidR="00AD7318" w:rsidRPr="00CD542C">
        <w:rPr>
          <w:rFonts w:ascii="Times New Roman" w:hAnsi="Times New Roman"/>
          <w:sz w:val="28"/>
          <w:szCs w:val="28"/>
        </w:rPr>
        <w:t xml:space="preserve"> </w:t>
      </w:r>
      <w:r w:rsidR="000A10AE" w:rsidRPr="00CD542C">
        <w:rPr>
          <w:rFonts w:ascii="Times New Roman" w:hAnsi="Times New Roman"/>
          <w:sz w:val="28"/>
          <w:szCs w:val="28"/>
        </w:rPr>
        <w:t xml:space="preserve">de </w:t>
      </w:r>
      <w:r w:rsidR="00AD7318" w:rsidRPr="00CD542C">
        <w:rPr>
          <w:rFonts w:ascii="Times New Roman" w:hAnsi="Times New Roman"/>
          <w:sz w:val="28"/>
          <w:szCs w:val="28"/>
        </w:rPr>
        <w:t>su</w:t>
      </w:r>
      <w:r w:rsidR="00D66E95" w:rsidRPr="00CD542C">
        <w:rPr>
          <w:rFonts w:ascii="Times New Roman" w:hAnsi="Times New Roman"/>
          <w:sz w:val="28"/>
          <w:szCs w:val="28"/>
        </w:rPr>
        <w:t xml:space="preserve"> homicidio</w:t>
      </w:r>
      <w:r w:rsidR="00AD7318" w:rsidRPr="00CD542C">
        <w:rPr>
          <w:rFonts w:ascii="Times New Roman" w:hAnsi="Times New Roman"/>
          <w:sz w:val="28"/>
          <w:szCs w:val="28"/>
        </w:rPr>
        <w:t xml:space="preserve"> una consecuencia de patrones de desigualdad</w:t>
      </w:r>
      <w:r w:rsidR="002541A8" w:rsidRPr="00CD542C">
        <w:rPr>
          <w:rFonts w:ascii="Times New Roman" w:hAnsi="Times New Roman"/>
          <w:sz w:val="28"/>
          <w:szCs w:val="28"/>
        </w:rPr>
        <w:t xml:space="preserve"> imbuidos en la sociedad</w:t>
      </w:r>
      <w:r w:rsidR="000A10AE" w:rsidRPr="00CD542C">
        <w:rPr>
          <w:rFonts w:ascii="Times New Roman" w:hAnsi="Times New Roman"/>
          <w:sz w:val="28"/>
          <w:szCs w:val="28"/>
        </w:rPr>
        <w:t xml:space="preserve">. </w:t>
      </w:r>
      <w:r w:rsidR="001A75EC" w:rsidRPr="00CD542C">
        <w:rPr>
          <w:rFonts w:ascii="Times New Roman" w:hAnsi="Times New Roman"/>
          <w:sz w:val="28"/>
          <w:szCs w:val="28"/>
        </w:rPr>
        <w:t>Dichos patrones se manifiestan en diversas formas de violencia</w:t>
      </w:r>
      <w:r w:rsidR="003B2A28" w:rsidRPr="00CD542C">
        <w:rPr>
          <w:rFonts w:ascii="Times New Roman" w:hAnsi="Times New Roman"/>
          <w:sz w:val="28"/>
          <w:szCs w:val="28"/>
        </w:rPr>
        <w:t>,</w:t>
      </w:r>
      <w:r w:rsidR="001A75EC" w:rsidRPr="00CD542C">
        <w:rPr>
          <w:rFonts w:ascii="Times New Roman" w:hAnsi="Times New Roman"/>
          <w:sz w:val="28"/>
          <w:szCs w:val="28"/>
        </w:rPr>
        <w:t xml:space="preserve"> que pueden tener un carácter sistemático</w:t>
      </w:r>
      <w:r w:rsidR="003B2A28" w:rsidRPr="00CD542C">
        <w:rPr>
          <w:rFonts w:ascii="Times New Roman" w:hAnsi="Times New Roman"/>
          <w:sz w:val="28"/>
          <w:szCs w:val="28"/>
        </w:rPr>
        <w:t xml:space="preserve"> o no</w:t>
      </w:r>
      <w:r w:rsidR="001A75EC" w:rsidRPr="00CD542C">
        <w:rPr>
          <w:rFonts w:ascii="Times New Roman" w:hAnsi="Times New Roman"/>
          <w:sz w:val="28"/>
          <w:szCs w:val="28"/>
        </w:rPr>
        <w:t>.</w:t>
      </w:r>
      <w:r w:rsidR="00637E23" w:rsidRPr="00CD542C">
        <w:rPr>
          <w:rFonts w:ascii="Times New Roman" w:hAnsi="Times New Roman"/>
          <w:sz w:val="28"/>
          <w:szCs w:val="28"/>
        </w:rPr>
        <w:t xml:space="preserve"> Esta</w:t>
      </w:r>
      <w:r w:rsidR="001A75EC" w:rsidRPr="00CD542C">
        <w:rPr>
          <w:rFonts w:ascii="Times New Roman" w:hAnsi="Times New Roman"/>
          <w:sz w:val="28"/>
          <w:szCs w:val="28"/>
        </w:rPr>
        <w:t xml:space="preserve"> violencia </w:t>
      </w:r>
      <w:r w:rsidR="00CB61DE" w:rsidRPr="00CD542C">
        <w:rPr>
          <w:rFonts w:ascii="Times New Roman" w:hAnsi="Times New Roman"/>
          <w:sz w:val="28"/>
          <w:szCs w:val="28"/>
        </w:rPr>
        <w:t xml:space="preserve">se evidencia </w:t>
      </w:r>
      <w:r w:rsidR="00637E23" w:rsidRPr="00CD542C">
        <w:rPr>
          <w:rFonts w:ascii="Times New Roman" w:hAnsi="Times New Roman"/>
          <w:sz w:val="28"/>
          <w:szCs w:val="28"/>
        </w:rPr>
        <w:t>tanto</w:t>
      </w:r>
      <w:r w:rsidR="00CB61DE" w:rsidRPr="00CD542C">
        <w:rPr>
          <w:rFonts w:ascii="Times New Roman" w:hAnsi="Times New Roman"/>
          <w:sz w:val="28"/>
          <w:szCs w:val="28"/>
        </w:rPr>
        <w:t xml:space="preserve"> en</w:t>
      </w:r>
      <w:r w:rsidR="001A75EC" w:rsidRPr="00CD542C">
        <w:rPr>
          <w:rFonts w:ascii="Times New Roman" w:hAnsi="Times New Roman"/>
          <w:sz w:val="28"/>
          <w:szCs w:val="28"/>
        </w:rPr>
        <w:t xml:space="preserve"> elemento</w:t>
      </w:r>
      <w:r w:rsidR="00CB61DE" w:rsidRPr="00CD542C">
        <w:rPr>
          <w:rFonts w:ascii="Times New Roman" w:hAnsi="Times New Roman"/>
          <w:sz w:val="28"/>
          <w:szCs w:val="28"/>
        </w:rPr>
        <w:t>s</w:t>
      </w:r>
      <w:r w:rsidR="001A75EC" w:rsidRPr="00CD542C">
        <w:rPr>
          <w:rFonts w:ascii="Times New Roman" w:hAnsi="Times New Roman"/>
          <w:sz w:val="28"/>
          <w:szCs w:val="28"/>
        </w:rPr>
        <w:t xml:space="preserve"> de</w:t>
      </w:r>
      <w:r w:rsidR="00637E23" w:rsidRPr="00CD542C">
        <w:rPr>
          <w:rFonts w:ascii="Times New Roman" w:hAnsi="Times New Roman"/>
          <w:sz w:val="28"/>
          <w:szCs w:val="28"/>
        </w:rPr>
        <w:t xml:space="preserve"> periodicidad como</w:t>
      </w:r>
      <w:r w:rsidR="001A75EC" w:rsidRPr="00CD542C">
        <w:rPr>
          <w:rFonts w:ascii="Times New Roman" w:hAnsi="Times New Roman"/>
          <w:sz w:val="28"/>
          <w:szCs w:val="28"/>
        </w:rPr>
        <w:t xml:space="preserve"> </w:t>
      </w:r>
      <w:r w:rsidR="00CB61DE" w:rsidRPr="00CD542C">
        <w:rPr>
          <w:rFonts w:ascii="Times New Roman" w:hAnsi="Times New Roman"/>
          <w:sz w:val="28"/>
          <w:szCs w:val="28"/>
        </w:rPr>
        <w:t>e</w:t>
      </w:r>
      <w:r w:rsidR="003B2A28" w:rsidRPr="00CD542C">
        <w:rPr>
          <w:rFonts w:ascii="Times New Roman" w:hAnsi="Times New Roman"/>
          <w:sz w:val="28"/>
          <w:szCs w:val="28"/>
        </w:rPr>
        <w:t>n</w:t>
      </w:r>
      <w:r w:rsidR="00CB61DE" w:rsidRPr="00CD542C">
        <w:rPr>
          <w:rFonts w:ascii="Times New Roman" w:hAnsi="Times New Roman"/>
          <w:sz w:val="28"/>
          <w:szCs w:val="28"/>
        </w:rPr>
        <w:t xml:space="preserve"> tratos que suponen</w:t>
      </w:r>
      <w:r w:rsidR="001A75EC" w:rsidRPr="00CD542C">
        <w:rPr>
          <w:rFonts w:ascii="Times New Roman" w:hAnsi="Times New Roman"/>
          <w:sz w:val="28"/>
          <w:szCs w:val="28"/>
        </w:rPr>
        <w:t xml:space="preserve"> una visión de roles</w:t>
      </w:r>
      <w:r w:rsidR="00CB61DE" w:rsidRPr="00CD542C">
        <w:rPr>
          <w:rFonts w:ascii="Times New Roman" w:hAnsi="Times New Roman"/>
          <w:sz w:val="28"/>
          <w:szCs w:val="28"/>
        </w:rPr>
        <w:t xml:space="preserve"> de género</w:t>
      </w:r>
      <w:r w:rsidR="001A75EC" w:rsidRPr="00CD542C">
        <w:rPr>
          <w:rFonts w:ascii="Times New Roman" w:hAnsi="Times New Roman"/>
          <w:sz w:val="28"/>
          <w:szCs w:val="28"/>
        </w:rPr>
        <w:t xml:space="preserve"> estereotipados</w:t>
      </w:r>
      <w:r w:rsidR="00BD28B8" w:rsidRPr="00CD542C">
        <w:rPr>
          <w:rFonts w:ascii="Times New Roman" w:hAnsi="Times New Roman"/>
          <w:sz w:val="28"/>
          <w:szCs w:val="28"/>
        </w:rPr>
        <w:t xml:space="preserve"> o arraigados en la cultura</w:t>
      </w:r>
      <w:r w:rsidR="00B05D90" w:rsidRPr="00CD542C">
        <w:rPr>
          <w:rFonts w:ascii="Times New Roman" w:hAnsi="Times New Roman"/>
          <w:sz w:val="28"/>
          <w:szCs w:val="28"/>
        </w:rPr>
        <w:t xml:space="preserve"> que posicionan a la mujer como un objeto o una propiedad desechable con ciertas funciones que se ven inferiores a las del hombre</w:t>
      </w:r>
      <w:r w:rsidR="00637E23" w:rsidRPr="00CD542C">
        <w:rPr>
          <w:rFonts w:ascii="Times New Roman" w:hAnsi="Times New Roman"/>
          <w:sz w:val="28"/>
          <w:szCs w:val="28"/>
        </w:rPr>
        <w:t>.</w:t>
      </w:r>
      <w:r w:rsidR="001A75EC" w:rsidRPr="00CD542C">
        <w:rPr>
          <w:rFonts w:ascii="Times New Roman" w:hAnsi="Times New Roman"/>
          <w:sz w:val="28"/>
          <w:szCs w:val="28"/>
        </w:rPr>
        <w:t xml:space="preserve"> </w:t>
      </w:r>
      <w:r w:rsidR="003B2A28" w:rsidRPr="00CD542C">
        <w:rPr>
          <w:rFonts w:ascii="Times New Roman" w:hAnsi="Times New Roman"/>
          <w:sz w:val="28"/>
          <w:szCs w:val="28"/>
        </w:rPr>
        <w:t xml:space="preserve">La realidad indica que las condiciones de discriminación que sufren las mujeres no siempre son abiertas, explicitas, y directas, no porque no estén presentes, sino porque hacen parte de dinámicas culturales que se han normalizado. </w:t>
      </w:r>
      <w:r w:rsidR="00BD28B8" w:rsidRPr="00CD542C">
        <w:rPr>
          <w:rFonts w:ascii="Times New Roman" w:hAnsi="Times New Roman"/>
          <w:sz w:val="28"/>
          <w:szCs w:val="28"/>
        </w:rPr>
        <w:t>Así, su identificación no es evidente</w:t>
      </w:r>
      <w:r w:rsidR="00E10800" w:rsidRPr="00CD542C">
        <w:rPr>
          <w:rFonts w:ascii="Times New Roman" w:hAnsi="Times New Roman"/>
          <w:sz w:val="28"/>
          <w:szCs w:val="28"/>
        </w:rPr>
        <w:t>,</w:t>
      </w:r>
      <w:r w:rsidR="00BD28B8" w:rsidRPr="00CD542C">
        <w:rPr>
          <w:rFonts w:ascii="Times New Roman" w:hAnsi="Times New Roman"/>
          <w:sz w:val="28"/>
          <w:szCs w:val="28"/>
        </w:rPr>
        <w:t xml:space="preserve"> pues permea todos los niveles sociales, incluso los de </w:t>
      </w:r>
      <w:r w:rsidR="0096052A" w:rsidRPr="00CD542C">
        <w:rPr>
          <w:rFonts w:ascii="Times New Roman" w:hAnsi="Times New Roman"/>
          <w:sz w:val="28"/>
          <w:szCs w:val="28"/>
        </w:rPr>
        <w:t xml:space="preserve">la administración </w:t>
      </w:r>
      <w:r w:rsidR="00BD28B8" w:rsidRPr="00CD542C">
        <w:rPr>
          <w:rFonts w:ascii="Times New Roman" w:hAnsi="Times New Roman"/>
          <w:sz w:val="28"/>
          <w:szCs w:val="28"/>
        </w:rPr>
        <w:t xml:space="preserve">de la justicia. Un factor que devela esta realidad corresponde a los altos niveles de impunidad de la violencia contra las mujeres en todas sus formas, que comienza por la incapacidad del Estado de reconocerla y la falta de herramientas para investigarla y reaccionar de forma acorde para garantizar los derechos de las mujeres. </w:t>
      </w:r>
    </w:p>
    <w:p w:rsidR="003B2A28" w:rsidRPr="00CD542C" w:rsidRDefault="003B2A28" w:rsidP="00CD542C">
      <w:pPr>
        <w:spacing w:after="0" w:line="240" w:lineRule="auto"/>
        <w:jc w:val="both"/>
        <w:rPr>
          <w:rFonts w:ascii="Times New Roman" w:hAnsi="Times New Roman"/>
          <w:sz w:val="28"/>
          <w:szCs w:val="28"/>
        </w:rPr>
      </w:pPr>
    </w:p>
    <w:p w:rsidR="002541A8" w:rsidRPr="00CD542C" w:rsidRDefault="00B05D90" w:rsidP="00CD542C">
      <w:pPr>
        <w:spacing w:after="0" w:line="240" w:lineRule="auto"/>
        <w:jc w:val="both"/>
        <w:rPr>
          <w:rFonts w:ascii="Times New Roman" w:hAnsi="Times New Roman"/>
          <w:sz w:val="28"/>
          <w:szCs w:val="28"/>
        </w:rPr>
      </w:pPr>
      <w:r w:rsidRPr="00CD542C">
        <w:rPr>
          <w:rFonts w:ascii="Times New Roman" w:hAnsi="Times New Roman"/>
          <w:sz w:val="28"/>
          <w:szCs w:val="28"/>
        </w:rPr>
        <w:t>De este modo</w:t>
      </w:r>
      <w:r w:rsidR="000A10AE" w:rsidRPr="00CD542C">
        <w:rPr>
          <w:rFonts w:ascii="Times New Roman" w:hAnsi="Times New Roman"/>
          <w:sz w:val="28"/>
          <w:szCs w:val="28"/>
        </w:rPr>
        <w:t xml:space="preserve">, </w:t>
      </w:r>
      <w:r w:rsidR="001A75EC" w:rsidRPr="00CD542C">
        <w:rPr>
          <w:rFonts w:ascii="Times New Roman" w:hAnsi="Times New Roman"/>
          <w:sz w:val="28"/>
          <w:szCs w:val="28"/>
        </w:rPr>
        <w:t xml:space="preserve">el feminicidio </w:t>
      </w:r>
      <w:r w:rsidR="000A10AE" w:rsidRPr="00CD542C">
        <w:rPr>
          <w:rFonts w:ascii="Times New Roman" w:hAnsi="Times New Roman"/>
          <w:sz w:val="28"/>
          <w:szCs w:val="28"/>
        </w:rPr>
        <w:t xml:space="preserve">busca visibilizar </w:t>
      </w:r>
      <w:r w:rsidR="002541A8" w:rsidRPr="00CD542C">
        <w:rPr>
          <w:rFonts w:ascii="Times New Roman" w:hAnsi="Times New Roman"/>
          <w:sz w:val="28"/>
          <w:szCs w:val="28"/>
        </w:rPr>
        <w:t xml:space="preserve">unas </w:t>
      </w:r>
      <w:r w:rsidR="00E10800" w:rsidRPr="00CD542C">
        <w:rPr>
          <w:rFonts w:ascii="Times New Roman" w:hAnsi="Times New Roman"/>
          <w:sz w:val="28"/>
          <w:szCs w:val="28"/>
        </w:rPr>
        <w:t>circunstancias de desigualdad</w:t>
      </w:r>
      <w:r w:rsidR="00AD7318" w:rsidRPr="00CD542C">
        <w:rPr>
          <w:rFonts w:ascii="Times New Roman" w:hAnsi="Times New Roman"/>
          <w:sz w:val="28"/>
          <w:szCs w:val="28"/>
        </w:rPr>
        <w:t xml:space="preserve"> donde el ejercicio de p</w:t>
      </w:r>
      <w:r w:rsidR="001A75EC" w:rsidRPr="00CD542C">
        <w:rPr>
          <w:rFonts w:ascii="Times New Roman" w:hAnsi="Times New Roman"/>
          <w:sz w:val="28"/>
          <w:szCs w:val="28"/>
        </w:rPr>
        <w:t>oder en</w:t>
      </w:r>
      <w:r w:rsidR="002541A8" w:rsidRPr="00CD542C">
        <w:rPr>
          <w:rFonts w:ascii="Times New Roman" w:hAnsi="Times New Roman"/>
          <w:sz w:val="28"/>
          <w:szCs w:val="28"/>
        </w:rPr>
        <w:t xml:space="preserve"> contra</w:t>
      </w:r>
      <w:r w:rsidR="001A75EC" w:rsidRPr="00CD542C">
        <w:rPr>
          <w:rFonts w:ascii="Times New Roman" w:hAnsi="Times New Roman"/>
          <w:sz w:val="28"/>
          <w:szCs w:val="28"/>
        </w:rPr>
        <w:t xml:space="preserve"> de las mujeres </w:t>
      </w:r>
      <w:r w:rsidR="00CB61DE" w:rsidRPr="00CD542C">
        <w:rPr>
          <w:rFonts w:ascii="Times New Roman" w:hAnsi="Times New Roman"/>
          <w:sz w:val="28"/>
          <w:szCs w:val="28"/>
        </w:rPr>
        <w:t>culmina con su muerte</w:t>
      </w:r>
      <w:r w:rsidR="00916C9F" w:rsidRPr="00CD542C">
        <w:rPr>
          <w:rFonts w:ascii="Times New Roman" w:hAnsi="Times New Roman"/>
          <w:sz w:val="28"/>
          <w:szCs w:val="28"/>
        </w:rPr>
        <w:t>, generalmente tras una violencia exacerbada,</w:t>
      </w:r>
      <w:r w:rsidR="00CB61DE" w:rsidRPr="00CD542C">
        <w:rPr>
          <w:rFonts w:ascii="Times New Roman" w:hAnsi="Times New Roman"/>
          <w:sz w:val="28"/>
          <w:szCs w:val="28"/>
        </w:rPr>
        <w:t xml:space="preserve"> porque </w:t>
      </w:r>
      <w:r w:rsidR="002541A8" w:rsidRPr="00CD542C">
        <w:rPr>
          <w:rFonts w:ascii="Times New Roman" w:hAnsi="Times New Roman"/>
          <w:sz w:val="28"/>
          <w:szCs w:val="28"/>
        </w:rPr>
        <w:t>su</w:t>
      </w:r>
      <w:r w:rsidR="00CB61DE" w:rsidRPr="00CD542C">
        <w:rPr>
          <w:rFonts w:ascii="Times New Roman" w:hAnsi="Times New Roman"/>
          <w:sz w:val="28"/>
          <w:szCs w:val="28"/>
        </w:rPr>
        <w:t xml:space="preserve"> vida</w:t>
      </w:r>
      <w:r w:rsidR="00AD7318" w:rsidRPr="00CD542C">
        <w:rPr>
          <w:rFonts w:ascii="Times New Roman" w:hAnsi="Times New Roman"/>
          <w:sz w:val="28"/>
          <w:szCs w:val="28"/>
        </w:rPr>
        <w:t xml:space="preserve"> tiene un</w:t>
      </w:r>
      <w:r w:rsidR="003B2A28" w:rsidRPr="00CD542C">
        <w:rPr>
          <w:rFonts w:ascii="Times New Roman" w:hAnsi="Times New Roman"/>
          <w:sz w:val="28"/>
          <w:szCs w:val="28"/>
        </w:rPr>
        <w:t xml:space="preserve"> lugar y</w:t>
      </w:r>
      <w:r w:rsidR="00AD7318" w:rsidRPr="00CD542C">
        <w:rPr>
          <w:rFonts w:ascii="Times New Roman" w:hAnsi="Times New Roman"/>
          <w:sz w:val="28"/>
          <w:szCs w:val="28"/>
        </w:rPr>
        <w:t xml:space="preserve"> valor social</w:t>
      </w:r>
      <w:r w:rsidR="00CB61DE" w:rsidRPr="00CD542C">
        <w:rPr>
          <w:rFonts w:ascii="Times New Roman" w:hAnsi="Times New Roman"/>
          <w:sz w:val="28"/>
          <w:szCs w:val="28"/>
        </w:rPr>
        <w:t xml:space="preserve"> de última categoría</w:t>
      </w:r>
      <w:r w:rsidR="00637E23" w:rsidRPr="00CD542C">
        <w:rPr>
          <w:rFonts w:ascii="Times New Roman" w:hAnsi="Times New Roman"/>
          <w:sz w:val="28"/>
          <w:szCs w:val="28"/>
        </w:rPr>
        <w:t xml:space="preserve">. </w:t>
      </w:r>
      <w:r w:rsidR="00026DD2" w:rsidRPr="00CD542C">
        <w:rPr>
          <w:rFonts w:ascii="Times New Roman" w:hAnsi="Times New Roman"/>
          <w:sz w:val="28"/>
          <w:szCs w:val="28"/>
        </w:rPr>
        <w:t xml:space="preserve">Por tanto, el elemento central del </w:t>
      </w:r>
      <w:r w:rsidR="002541A8" w:rsidRPr="00CD542C">
        <w:rPr>
          <w:rFonts w:ascii="Times New Roman" w:hAnsi="Times New Roman"/>
          <w:sz w:val="28"/>
          <w:szCs w:val="28"/>
        </w:rPr>
        <w:t>hecho punible</w:t>
      </w:r>
      <w:r w:rsidR="00026DD2" w:rsidRPr="00CD542C">
        <w:rPr>
          <w:rFonts w:ascii="Times New Roman" w:hAnsi="Times New Roman"/>
          <w:sz w:val="28"/>
          <w:szCs w:val="28"/>
        </w:rPr>
        <w:t xml:space="preserve">, </w:t>
      </w:r>
      <w:r w:rsidR="009F4CF3" w:rsidRPr="00CD542C">
        <w:rPr>
          <w:rFonts w:ascii="Times New Roman" w:hAnsi="Times New Roman"/>
          <w:sz w:val="28"/>
          <w:szCs w:val="28"/>
        </w:rPr>
        <w:t>independientemente</w:t>
      </w:r>
      <w:r w:rsidR="00026DD2" w:rsidRPr="00CD542C">
        <w:rPr>
          <w:rFonts w:ascii="Times New Roman" w:hAnsi="Times New Roman"/>
          <w:sz w:val="28"/>
          <w:szCs w:val="28"/>
        </w:rPr>
        <w:t xml:space="preserve"> de cómo haya sido tipificado</w:t>
      </w:r>
      <w:r w:rsidR="002541A8" w:rsidRPr="00CD542C">
        <w:rPr>
          <w:rFonts w:ascii="Times New Roman" w:hAnsi="Times New Roman"/>
          <w:sz w:val="28"/>
          <w:szCs w:val="28"/>
        </w:rPr>
        <w:t>,</w:t>
      </w:r>
      <w:r w:rsidR="00026DD2" w:rsidRPr="00CD542C">
        <w:rPr>
          <w:rFonts w:ascii="Times New Roman" w:hAnsi="Times New Roman"/>
          <w:sz w:val="28"/>
          <w:szCs w:val="28"/>
        </w:rPr>
        <w:t xml:space="preserve"> responde al elemento subjetivo del tipo</w:t>
      </w:r>
      <w:r w:rsidR="000A10AE" w:rsidRPr="00CD542C">
        <w:rPr>
          <w:rFonts w:ascii="Times New Roman" w:hAnsi="Times New Roman"/>
          <w:sz w:val="28"/>
          <w:szCs w:val="28"/>
        </w:rPr>
        <w:t>,</w:t>
      </w:r>
      <w:r w:rsidR="00026DD2" w:rsidRPr="00CD542C">
        <w:rPr>
          <w:rFonts w:ascii="Times New Roman" w:hAnsi="Times New Roman"/>
          <w:sz w:val="28"/>
          <w:szCs w:val="28"/>
        </w:rPr>
        <w:t xml:space="preserve"> que </w:t>
      </w:r>
      <w:r w:rsidR="002541A8" w:rsidRPr="00CD542C">
        <w:rPr>
          <w:rFonts w:ascii="Times New Roman" w:hAnsi="Times New Roman"/>
          <w:sz w:val="28"/>
          <w:szCs w:val="28"/>
        </w:rPr>
        <w:t>reconoce unas condiciones culturales discriminatorias</w:t>
      </w:r>
      <w:r w:rsidR="00637E23" w:rsidRPr="00CD542C">
        <w:rPr>
          <w:rFonts w:ascii="Times New Roman" w:hAnsi="Times New Roman"/>
          <w:sz w:val="28"/>
          <w:szCs w:val="28"/>
        </w:rPr>
        <w:t xml:space="preserve"> como la motivación de su asesinato</w:t>
      </w:r>
      <w:r w:rsidR="002541A8" w:rsidRPr="00CD542C">
        <w:rPr>
          <w:rFonts w:ascii="Times New Roman" w:hAnsi="Times New Roman"/>
          <w:sz w:val="28"/>
          <w:szCs w:val="28"/>
        </w:rPr>
        <w:t>.</w:t>
      </w:r>
    </w:p>
    <w:p w:rsidR="002541A8" w:rsidRPr="00CD542C" w:rsidRDefault="002541A8" w:rsidP="00CD542C">
      <w:pPr>
        <w:spacing w:after="0" w:line="240" w:lineRule="auto"/>
        <w:jc w:val="both"/>
        <w:rPr>
          <w:rFonts w:ascii="Times New Roman" w:hAnsi="Times New Roman"/>
          <w:sz w:val="28"/>
          <w:szCs w:val="28"/>
        </w:rPr>
      </w:pPr>
    </w:p>
    <w:p w:rsidR="00026DD2" w:rsidRPr="00CD542C" w:rsidRDefault="005364D8" w:rsidP="00CD542C">
      <w:pPr>
        <w:spacing w:after="0" w:line="240" w:lineRule="auto"/>
        <w:jc w:val="both"/>
        <w:rPr>
          <w:rFonts w:ascii="Times New Roman" w:hAnsi="Times New Roman"/>
          <w:sz w:val="28"/>
          <w:szCs w:val="28"/>
        </w:rPr>
      </w:pPr>
      <w:r w:rsidRPr="00CD542C">
        <w:rPr>
          <w:rFonts w:ascii="Times New Roman" w:hAnsi="Times New Roman"/>
          <w:sz w:val="28"/>
          <w:szCs w:val="28"/>
        </w:rPr>
        <w:t>En este orden de ideas</w:t>
      </w:r>
      <w:r w:rsidR="002541A8" w:rsidRPr="00CD542C">
        <w:rPr>
          <w:rFonts w:ascii="Times New Roman" w:hAnsi="Times New Roman"/>
          <w:sz w:val="28"/>
          <w:szCs w:val="28"/>
        </w:rPr>
        <w:t>,</w:t>
      </w:r>
      <w:r w:rsidR="00026DD2" w:rsidRPr="00CD542C">
        <w:rPr>
          <w:rFonts w:ascii="Times New Roman" w:hAnsi="Times New Roman"/>
          <w:sz w:val="28"/>
          <w:szCs w:val="28"/>
        </w:rPr>
        <w:t xml:space="preserve"> </w:t>
      </w:r>
      <w:r w:rsidR="00637E23" w:rsidRPr="00CD542C">
        <w:rPr>
          <w:rFonts w:ascii="Times New Roman" w:hAnsi="Times New Roman"/>
          <w:sz w:val="28"/>
          <w:szCs w:val="28"/>
        </w:rPr>
        <w:t>la intención</w:t>
      </w:r>
      <w:r w:rsidR="002541A8" w:rsidRPr="00CD542C">
        <w:rPr>
          <w:rFonts w:ascii="Times New Roman" w:hAnsi="Times New Roman"/>
          <w:sz w:val="28"/>
          <w:szCs w:val="28"/>
        </w:rPr>
        <w:t xml:space="preserve"> </w:t>
      </w:r>
      <w:r w:rsidR="00637E23" w:rsidRPr="00CD542C">
        <w:rPr>
          <w:rFonts w:ascii="Times New Roman" w:hAnsi="Times New Roman"/>
          <w:sz w:val="28"/>
          <w:szCs w:val="28"/>
        </w:rPr>
        <w:t>de dar muerte p</w:t>
      </w:r>
      <w:r w:rsidR="00BD28B8" w:rsidRPr="00CD542C">
        <w:rPr>
          <w:rFonts w:ascii="Times New Roman" w:hAnsi="Times New Roman"/>
          <w:sz w:val="28"/>
          <w:szCs w:val="28"/>
        </w:rPr>
        <w:t>or motivos de género, al descubrir</w:t>
      </w:r>
      <w:r w:rsidR="00637E23" w:rsidRPr="00CD542C">
        <w:rPr>
          <w:rFonts w:ascii="Times New Roman" w:hAnsi="Times New Roman"/>
          <w:sz w:val="28"/>
          <w:szCs w:val="28"/>
        </w:rPr>
        <w:t xml:space="preserve"> patrones de desigualdad intrincados en la sociedad y tener el potencial de tomar tantas formas resulta </w:t>
      </w:r>
      <w:r w:rsidR="00637E23" w:rsidRPr="00CD542C">
        <w:rPr>
          <w:rFonts w:ascii="Times New Roman" w:hAnsi="Times New Roman"/>
          <w:b/>
          <w:bCs/>
          <w:sz w:val="28"/>
          <w:szCs w:val="28"/>
        </w:rPr>
        <w:t>extremadamente difícil</w:t>
      </w:r>
      <w:r w:rsidR="00744B03" w:rsidRPr="00CD542C">
        <w:rPr>
          <w:rFonts w:ascii="Times New Roman" w:hAnsi="Times New Roman"/>
          <w:b/>
          <w:bCs/>
          <w:sz w:val="28"/>
          <w:szCs w:val="28"/>
        </w:rPr>
        <w:t xml:space="preserve"> de probar bajo esquemas tradicionales que replican las desigualdades de poder</w:t>
      </w:r>
      <w:r w:rsidR="00637E23" w:rsidRPr="00CD542C">
        <w:rPr>
          <w:rFonts w:ascii="Times New Roman" w:hAnsi="Times New Roman"/>
          <w:sz w:val="28"/>
          <w:szCs w:val="28"/>
        </w:rPr>
        <w:t xml:space="preserve">. </w:t>
      </w:r>
      <w:r w:rsidRPr="00CD542C">
        <w:rPr>
          <w:rFonts w:ascii="Times New Roman" w:hAnsi="Times New Roman"/>
          <w:b/>
          <w:bCs/>
          <w:sz w:val="28"/>
          <w:szCs w:val="28"/>
        </w:rPr>
        <w:t xml:space="preserve">Por lo tanto, la garantía del acceso a la justicia para las mujeres </w:t>
      </w:r>
      <w:r w:rsidR="005250B4" w:rsidRPr="00CD542C">
        <w:rPr>
          <w:rFonts w:ascii="Times New Roman" w:hAnsi="Times New Roman"/>
          <w:b/>
          <w:bCs/>
          <w:sz w:val="28"/>
          <w:szCs w:val="28"/>
        </w:rPr>
        <w:t>supone</w:t>
      </w:r>
      <w:r w:rsidR="0065523F" w:rsidRPr="00CD542C">
        <w:rPr>
          <w:rFonts w:ascii="Times New Roman" w:hAnsi="Times New Roman"/>
          <w:b/>
          <w:bCs/>
          <w:sz w:val="28"/>
          <w:szCs w:val="28"/>
        </w:rPr>
        <w:t xml:space="preserve"> un cambio estructural del derecho penal que</w:t>
      </w:r>
      <w:r w:rsidRPr="00CD542C">
        <w:rPr>
          <w:rFonts w:ascii="Times New Roman" w:hAnsi="Times New Roman"/>
          <w:b/>
          <w:bCs/>
          <w:sz w:val="28"/>
          <w:szCs w:val="28"/>
        </w:rPr>
        <w:t xml:space="preserve"> integre una perspectiva de género</w:t>
      </w:r>
      <w:r w:rsidR="00916C9F" w:rsidRPr="00CD542C">
        <w:rPr>
          <w:rFonts w:ascii="Times New Roman" w:hAnsi="Times New Roman"/>
          <w:b/>
          <w:bCs/>
          <w:sz w:val="28"/>
          <w:szCs w:val="28"/>
        </w:rPr>
        <w:t xml:space="preserve"> tanto en</w:t>
      </w:r>
      <w:r w:rsidR="006F4AAB" w:rsidRPr="00CD542C">
        <w:rPr>
          <w:rFonts w:ascii="Times New Roman" w:hAnsi="Times New Roman"/>
          <w:b/>
          <w:bCs/>
          <w:sz w:val="28"/>
          <w:szCs w:val="28"/>
        </w:rPr>
        <w:t xml:space="preserve"> los tipos penales que lo</w:t>
      </w:r>
      <w:r w:rsidR="00916C9F" w:rsidRPr="00CD542C">
        <w:rPr>
          <w:rFonts w:ascii="Times New Roman" w:hAnsi="Times New Roman"/>
          <w:b/>
          <w:bCs/>
          <w:sz w:val="28"/>
          <w:szCs w:val="28"/>
        </w:rPr>
        <w:t xml:space="preserve"> componen como en su investigación y sanción</w:t>
      </w:r>
      <w:r w:rsidR="0065523F" w:rsidRPr="00CD542C">
        <w:rPr>
          <w:rFonts w:ascii="Times New Roman" w:hAnsi="Times New Roman"/>
          <w:sz w:val="28"/>
          <w:szCs w:val="28"/>
        </w:rPr>
        <w:t>. Lo anterior, se concreta, entre otros, en</w:t>
      </w:r>
      <w:r w:rsidR="005250B4" w:rsidRPr="00CD542C">
        <w:rPr>
          <w:rFonts w:ascii="Times New Roman" w:hAnsi="Times New Roman"/>
          <w:sz w:val="28"/>
          <w:szCs w:val="28"/>
        </w:rPr>
        <w:t xml:space="preserve"> una flexibilización de</w:t>
      </w:r>
      <w:r w:rsidR="005F7CAB" w:rsidRPr="00CD542C">
        <w:rPr>
          <w:rFonts w:ascii="Times New Roman" w:hAnsi="Times New Roman"/>
          <w:sz w:val="28"/>
          <w:szCs w:val="28"/>
        </w:rPr>
        <w:t>l acercamiento a la</w:t>
      </w:r>
      <w:r w:rsidR="005250B4" w:rsidRPr="00CD542C">
        <w:rPr>
          <w:rFonts w:ascii="Times New Roman" w:hAnsi="Times New Roman"/>
          <w:sz w:val="28"/>
          <w:szCs w:val="28"/>
        </w:rPr>
        <w:t xml:space="preserve"> prueba </w:t>
      </w:r>
      <w:r w:rsidR="00F0263D" w:rsidRPr="00CD542C">
        <w:rPr>
          <w:rFonts w:ascii="Times New Roman" w:hAnsi="Times New Roman"/>
          <w:sz w:val="28"/>
          <w:szCs w:val="28"/>
        </w:rPr>
        <w:t xml:space="preserve">en el feminicidio </w:t>
      </w:r>
      <w:r w:rsidR="005250B4" w:rsidRPr="00CD542C">
        <w:rPr>
          <w:rFonts w:ascii="Times New Roman" w:hAnsi="Times New Roman"/>
          <w:sz w:val="28"/>
          <w:szCs w:val="28"/>
        </w:rPr>
        <w:t xml:space="preserve">que </w:t>
      </w:r>
      <w:r w:rsidR="00BD0356" w:rsidRPr="00CD542C">
        <w:rPr>
          <w:rFonts w:ascii="Times New Roman" w:hAnsi="Times New Roman"/>
          <w:sz w:val="28"/>
          <w:szCs w:val="28"/>
        </w:rPr>
        <w:t xml:space="preserve">permita </w:t>
      </w:r>
      <w:r w:rsidR="005250B4" w:rsidRPr="00CD542C">
        <w:rPr>
          <w:rFonts w:ascii="Times New Roman" w:hAnsi="Times New Roman"/>
          <w:sz w:val="28"/>
          <w:szCs w:val="28"/>
        </w:rPr>
        <w:t xml:space="preserve">que el contexto </w:t>
      </w:r>
      <w:r w:rsidR="00E25B9F" w:rsidRPr="00CD542C">
        <w:rPr>
          <w:rFonts w:ascii="Times New Roman" w:hAnsi="Times New Roman"/>
          <w:sz w:val="28"/>
          <w:szCs w:val="28"/>
        </w:rPr>
        <w:t>conduzca a evidenciar</w:t>
      </w:r>
      <w:r w:rsidR="005250B4" w:rsidRPr="00CD542C">
        <w:rPr>
          <w:rFonts w:ascii="Times New Roman" w:hAnsi="Times New Roman"/>
          <w:sz w:val="28"/>
          <w:szCs w:val="28"/>
        </w:rPr>
        <w:t xml:space="preserve"> el móvil. </w:t>
      </w:r>
      <w:r w:rsidRPr="00CD542C">
        <w:rPr>
          <w:rFonts w:ascii="Times New Roman" w:hAnsi="Times New Roman"/>
          <w:sz w:val="28"/>
          <w:szCs w:val="28"/>
        </w:rPr>
        <w:t xml:space="preserve">Esto </w:t>
      </w:r>
      <w:r w:rsidR="005250B4" w:rsidRPr="00CD542C">
        <w:rPr>
          <w:rFonts w:ascii="Times New Roman" w:hAnsi="Times New Roman"/>
          <w:sz w:val="28"/>
          <w:szCs w:val="28"/>
        </w:rPr>
        <w:t xml:space="preserve">no implica que la valoración del hecho punible como tal </w:t>
      </w:r>
      <w:r w:rsidR="008C1FDC" w:rsidRPr="00CD542C">
        <w:rPr>
          <w:rFonts w:ascii="Times New Roman" w:hAnsi="Times New Roman"/>
          <w:sz w:val="28"/>
          <w:szCs w:val="28"/>
        </w:rPr>
        <w:t xml:space="preserve">abandone </w:t>
      </w:r>
      <w:r w:rsidR="005250B4" w:rsidRPr="00CD542C">
        <w:rPr>
          <w:rFonts w:ascii="Times New Roman" w:hAnsi="Times New Roman"/>
          <w:sz w:val="28"/>
          <w:szCs w:val="28"/>
        </w:rPr>
        <w:t xml:space="preserve">los presupuestos del derecho penal, el debido proceso o el principio de legalidad, </w:t>
      </w:r>
      <w:r w:rsidR="005250B4" w:rsidRPr="00CD542C">
        <w:rPr>
          <w:rFonts w:ascii="Times New Roman" w:hAnsi="Times New Roman"/>
          <w:b/>
          <w:bCs/>
          <w:sz w:val="28"/>
          <w:szCs w:val="28"/>
        </w:rPr>
        <w:t>per</w:t>
      </w:r>
      <w:r w:rsidR="0096052A" w:rsidRPr="00CD542C">
        <w:rPr>
          <w:rFonts w:ascii="Times New Roman" w:hAnsi="Times New Roman"/>
          <w:b/>
          <w:bCs/>
          <w:sz w:val="28"/>
          <w:szCs w:val="28"/>
        </w:rPr>
        <w:t>o sí</w:t>
      </w:r>
      <w:r w:rsidR="00CB61DE" w:rsidRPr="00CD542C">
        <w:rPr>
          <w:rFonts w:ascii="Times New Roman" w:hAnsi="Times New Roman"/>
          <w:b/>
          <w:bCs/>
          <w:sz w:val="28"/>
          <w:szCs w:val="28"/>
        </w:rPr>
        <w:t xml:space="preserve"> que su apreciación</w:t>
      </w:r>
      <w:r w:rsidR="005250B4" w:rsidRPr="00CD542C">
        <w:rPr>
          <w:rFonts w:ascii="Times New Roman" w:hAnsi="Times New Roman"/>
          <w:b/>
          <w:bCs/>
          <w:sz w:val="28"/>
          <w:szCs w:val="28"/>
        </w:rPr>
        <w:t xml:space="preserve"> </w:t>
      </w:r>
      <w:r w:rsidRPr="00CD542C">
        <w:rPr>
          <w:rFonts w:ascii="Times New Roman" w:hAnsi="Times New Roman"/>
          <w:b/>
          <w:bCs/>
          <w:sz w:val="28"/>
          <w:szCs w:val="28"/>
        </w:rPr>
        <w:t xml:space="preserve">tenga la posibilidad de reconocer las diferencias de poder que generan una </w:t>
      </w:r>
      <w:r w:rsidRPr="00CD542C">
        <w:rPr>
          <w:rFonts w:ascii="Times New Roman" w:hAnsi="Times New Roman"/>
          <w:b/>
          <w:bCs/>
          <w:sz w:val="28"/>
          <w:szCs w:val="28"/>
        </w:rPr>
        <w:lastRenderedPageBreak/>
        <w:t>discriminación sistemática para las mujeres</w:t>
      </w:r>
      <w:r w:rsidR="00992E1B" w:rsidRPr="00CD542C">
        <w:rPr>
          <w:rFonts w:ascii="Times New Roman" w:hAnsi="Times New Roman"/>
          <w:b/>
          <w:bCs/>
          <w:sz w:val="28"/>
          <w:szCs w:val="28"/>
        </w:rPr>
        <w:t xml:space="preserve"> que desencadena</w:t>
      </w:r>
      <w:r w:rsidR="00E25B9F" w:rsidRPr="00CD542C">
        <w:rPr>
          <w:rFonts w:ascii="Times New Roman" w:hAnsi="Times New Roman"/>
          <w:b/>
          <w:bCs/>
          <w:sz w:val="28"/>
          <w:szCs w:val="28"/>
        </w:rPr>
        <w:t xml:space="preserve"> una violencia exacerbada y cobra sus vidas en la impunidad</w:t>
      </w:r>
      <w:r w:rsidRPr="00CD542C">
        <w:rPr>
          <w:rFonts w:ascii="Times New Roman" w:hAnsi="Times New Roman"/>
          <w:b/>
          <w:bCs/>
          <w:sz w:val="28"/>
          <w:szCs w:val="28"/>
        </w:rPr>
        <w:t>.</w:t>
      </w:r>
      <w:r w:rsidR="005250B4" w:rsidRPr="00CD542C">
        <w:rPr>
          <w:rFonts w:ascii="Times New Roman" w:hAnsi="Times New Roman"/>
          <w:sz w:val="28"/>
          <w:szCs w:val="28"/>
        </w:rPr>
        <w:t xml:space="preserve"> </w:t>
      </w:r>
      <w:r w:rsidR="005F7CAB" w:rsidRPr="00CD542C">
        <w:rPr>
          <w:rFonts w:ascii="Times New Roman" w:hAnsi="Times New Roman"/>
          <w:sz w:val="28"/>
          <w:szCs w:val="28"/>
        </w:rPr>
        <w:t xml:space="preserve">Lo </w:t>
      </w:r>
      <w:r w:rsidR="00BD0356" w:rsidRPr="00CD542C">
        <w:rPr>
          <w:rFonts w:ascii="Times New Roman" w:hAnsi="Times New Roman"/>
          <w:sz w:val="28"/>
          <w:szCs w:val="28"/>
        </w:rPr>
        <w:t>contrario supondría</w:t>
      </w:r>
      <w:r w:rsidR="005F7CAB" w:rsidRPr="00CD542C">
        <w:rPr>
          <w:rFonts w:ascii="Times New Roman" w:hAnsi="Times New Roman"/>
          <w:sz w:val="28"/>
          <w:szCs w:val="28"/>
        </w:rPr>
        <w:t xml:space="preserve"> que el feminicidio </w:t>
      </w:r>
      <w:r w:rsidR="008C1FDC" w:rsidRPr="00CD542C">
        <w:rPr>
          <w:rFonts w:ascii="Times New Roman" w:hAnsi="Times New Roman"/>
          <w:sz w:val="28"/>
          <w:szCs w:val="28"/>
        </w:rPr>
        <w:t>constituya</w:t>
      </w:r>
      <w:r w:rsidR="005F7CAB" w:rsidRPr="00CD542C">
        <w:rPr>
          <w:rFonts w:ascii="Times New Roman" w:hAnsi="Times New Roman"/>
          <w:sz w:val="28"/>
          <w:szCs w:val="28"/>
        </w:rPr>
        <w:t xml:space="preserve"> un tipo</w:t>
      </w:r>
      <w:r w:rsidR="00BD0356" w:rsidRPr="00CD542C">
        <w:rPr>
          <w:rFonts w:ascii="Times New Roman" w:hAnsi="Times New Roman"/>
          <w:sz w:val="28"/>
          <w:szCs w:val="28"/>
        </w:rPr>
        <w:t xml:space="preserve"> penal</w:t>
      </w:r>
      <w:r w:rsidR="005F7CAB" w:rsidRPr="00CD542C">
        <w:rPr>
          <w:rFonts w:ascii="Times New Roman" w:hAnsi="Times New Roman"/>
          <w:sz w:val="28"/>
          <w:szCs w:val="28"/>
        </w:rPr>
        <w:t xml:space="preserve"> simbó</w:t>
      </w:r>
      <w:r w:rsidR="00BD0356" w:rsidRPr="00CD542C">
        <w:rPr>
          <w:rFonts w:ascii="Times New Roman" w:hAnsi="Times New Roman"/>
          <w:sz w:val="28"/>
          <w:szCs w:val="28"/>
        </w:rPr>
        <w:t>lico desprovisto de</w:t>
      </w:r>
      <w:r w:rsidR="008C1FDC" w:rsidRPr="00CD542C">
        <w:rPr>
          <w:rFonts w:ascii="Times New Roman" w:hAnsi="Times New Roman"/>
          <w:sz w:val="28"/>
          <w:szCs w:val="28"/>
        </w:rPr>
        <w:t xml:space="preserve"> eficacia</w:t>
      </w:r>
      <w:r w:rsidR="00BA13F0" w:rsidRPr="00CD542C">
        <w:rPr>
          <w:rFonts w:ascii="Times New Roman" w:hAnsi="Times New Roman"/>
          <w:sz w:val="28"/>
          <w:szCs w:val="28"/>
        </w:rPr>
        <w:t>,</w:t>
      </w:r>
      <w:r w:rsidR="008C1FDC" w:rsidRPr="00CD542C">
        <w:rPr>
          <w:rFonts w:ascii="Times New Roman" w:hAnsi="Times New Roman"/>
          <w:sz w:val="28"/>
          <w:szCs w:val="28"/>
        </w:rPr>
        <w:t xml:space="preserve"> </w:t>
      </w:r>
      <w:r w:rsidR="00BD0356" w:rsidRPr="00CD542C">
        <w:rPr>
          <w:rFonts w:ascii="Times New Roman" w:hAnsi="Times New Roman"/>
          <w:sz w:val="28"/>
          <w:szCs w:val="28"/>
        </w:rPr>
        <w:t>lo cual conve</w:t>
      </w:r>
      <w:r w:rsidR="008C1FDC" w:rsidRPr="00CD542C">
        <w:rPr>
          <w:rFonts w:ascii="Times New Roman" w:hAnsi="Times New Roman"/>
          <w:sz w:val="28"/>
          <w:szCs w:val="28"/>
        </w:rPr>
        <w:t>rt</w:t>
      </w:r>
      <w:r w:rsidR="00BD0356" w:rsidRPr="00CD542C">
        <w:rPr>
          <w:rFonts w:ascii="Times New Roman" w:hAnsi="Times New Roman"/>
          <w:sz w:val="28"/>
          <w:szCs w:val="28"/>
        </w:rPr>
        <w:t>irí</w:t>
      </w:r>
      <w:r w:rsidR="008C1FDC" w:rsidRPr="00CD542C">
        <w:rPr>
          <w:rFonts w:ascii="Times New Roman" w:hAnsi="Times New Roman"/>
          <w:sz w:val="28"/>
          <w:szCs w:val="28"/>
        </w:rPr>
        <w:t>a</w:t>
      </w:r>
      <w:r w:rsidR="005F7CAB" w:rsidRPr="00CD542C">
        <w:rPr>
          <w:rFonts w:ascii="Times New Roman" w:hAnsi="Times New Roman"/>
          <w:sz w:val="28"/>
          <w:szCs w:val="28"/>
        </w:rPr>
        <w:t xml:space="preserve"> los bienes jurídicos que tutela en una protección de papel.</w:t>
      </w:r>
    </w:p>
    <w:p w:rsidR="008C1FDC" w:rsidRPr="00CD542C" w:rsidRDefault="008C1FDC" w:rsidP="00CD542C">
      <w:pPr>
        <w:spacing w:after="0" w:line="240" w:lineRule="auto"/>
        <w:jc w:val="both"/>
        <w:rPr>
          <w:rFonts w:ascii="Times New Roman" w:hAnsi="Times New Roman"/>
          <w:sz w:val="28"/>
          <w:szCs w:val="28"/>
        </w:rPr>
      </w:pPr>
    </w:p>
    <w:p w:rsidR="00026DD2"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4</w:t>
      </w:r>
      <w:r w:rsidR="00775213" w:rsidRPr="00CD542C">
        <w:rPr>
          <w:rFonts w:ascii="Times New Roman" w:hAnsi="Times New Roman"/>
          <w:sz w:val="28"/>
          <w:szCs w:val="28"/>
        </w:rPr>
        <w:t xml:space="preserve">4. </w:t>
      </w:r>
      <w:r w:rsidR="008C1FDC" w:rsidRPr="00CD542C">
        <w:rPr>
          <w:rFonts w:ascii="Times New Roman" w:hAnsi="Times New Roman"/>
          <w:sz w:val="28"/>
          <w:szCs w:val="28"/>
        </w:rPr>
        <w:t>Una de las formas con las que se ha tratado de superar esa dificultad probatori</w:t>
      </w:r>
      <w:r w:rsidR="00BA13F0" w:rsidRPr="00CD542C">
        <w:rPr>
          <w:rFonts w:ascii="Times New Roman" w:hAnsi="Times New Roman"/>
          <w:sz w:val="28"/>
          <w:szCs w:val="28"/>
        </w:rPr>
        <w:t>a se evidencia en las diversas</w:t>
      </w:r>
      <w:r w:rsidR="008C1FDC" w:rsidRPr="00CD542C">
        <w:rPr>
          <w:rFonts w:ascii="Times New Roman" w:hAnsi="Times New Roman"/>
          <w:sz w:val="28"/>
          <w:szCs w:val="28"/>
        </w:rPr>
        <w:t xml:space="preserve"> maneras de tipificar el delito en América Latina. Así, </w:t>
      </w:r>
      <w:r w:rsidR="00DC4A1F" w:rsidRPr="00CD542C">
        <w:rPr>
          <w:rFonts w:ascii="Times New Roman" w:hAnsi="Times New Roman"/>
          <w:sz w:val="28"/>
          <w:szCs w:val="28"/>
        </w:rPr>
        <w:t>estos</w:t>
      </w:r>
      <w:r w:rsidR="00026DD2" w:rsidRPr="00CD542C">
        <w:rPr>
          <w:rFonts w:ascii="Times New Roman" w:hAnsi="Times New Roman"/>
          <w:sz w:val="28"/>
          <w:szCs w:val="28"/>
        </w:rPr>
        <w:t xml:space="preserve"> </w:t>
      </w:r>
      <w:r w:rsidR="00BA13F0" w:rsidRPr="00CD542C">
        <w:rPr>
          <w:rFonts w:ascii="Times New Roman" w:hAnsi="Times New Roman"/>
          <w:sz w:val="28"/>
          <w:szCs w:val="28"/>
        </w:rPr>
        <w:t xml:space="preserve">diferentes </w:t>
      </w:r>
      <w:r w:rsidR="00026DD2" w:rsidRPr="00CD542C">
        <w:rPr>
          <w:rFonts w:ascii="Times New Roman" w:hAnsi="Times New Roman"/>
          <w:sz w:val="28"/>
          <w:szCs w:val="28"/>
        </w:rPr>
        <w:t xml:space="preserve">escenarios </w:t>
      </w:r>
      <w:r w:rsidR="008C1FDC" w:rsidRPr="00CD542C">
        <w:rPr>
          <w:rFonts w:ascii="Times New Roman" w:hAnsi="Times New Roman"/>
          <w:sz w:val="28"/>
          <w:szCs w:val="28"/>
        </w:rPr>
        <w:t xml:space="preserve">han optado por incluir </w:t>
      </w:r>
      <w:r w:rsidR="00B05D90" w:rsidRPr="00CD542C">
        <w:rPr>
          <w:rFonts w:ascii="Times New Roman" w:hAnsi="Times New Roman"/>
          <w:sz w:val="28"/>
          <w:szCs w:val="28"/>
        </w:rPr>
        <w:t>los elementos contextuales en la descripción del</w:t>
      </w:r>
      <w:r w:rsidR="008C1FDC" w:rsidRPr="00CD542C">
        <w:rPr>
          <w:rFonts w:ascii="Times New Roman" w:hAnsi="Times New Roman"/>
          <w:sz w:val="28"/>
          <w:szCs w:val="28"/>
        </w:rPr>
        <w:t xml:space="preserve"> tipo, como una forma de guiar la valoración del hecho punible hacia una perspectiva de género</w:t>
      </w:r>
      <w:r w:rsidR="008555E7" w:rsidRPr="00CD542C">
        <w:rPr>
          <w:rFonts w:ascii="Times New Roman" w:hAnsi="Times New Roman"/>
          <w:sz w:val="28"/>
          <w:szCs w:val="28"/>
        </w:rPr>
        <w:t xml:space="preserve"> en la investigación y sanción de la violencia contra la mujer</w:t>
      </w:r>
      <w:r w:rsidR="008C1FDC" w:rsidRPr="00CD542C">
        <w:rPr>
          <w:rFonts w:ascii="Times New Roman" w:hAnsi="Times New Roman"/>
          <w:sz w:val="28"/>
          <w:szCs w:val="28"/>
        </w:rPr>
        <w:t xml:space="preserve">. </w:t>
      </w:r>
      <w:r w:rsidR="00DC4A1F" w:rsidRPr="00CD542C">
        <w:rPr>
          <w:rFonts w:ascii="Times New Roman" w:hAnsi="Times New Roman"/>
          <w:sz w:val="28"/>
          <w:szCs w:val="28"/>
        </w:rPr>
        <w:t>Dicha té</w:t>
      </w:r>
      <w:r w:rsidR="00BA13F0" w:rsidRPr="00CD542C">
        <w:rPr>
          <w:rFonts w:ascii="Times New Roman" w:hAnsi="Times New Roman"/>
          <w:sz w:val="28"/>
          <w:szCs w:val="28"/>
        </w:rPr>
        <w:t>cnica penal</w:t>
      </w:r>
      <w:r w:rsidR="00DC4A1F" w:rsidRPr="00CD542C">
        <w:rPr>
          <w:rFonts w:ascii="Times New Roman" w:hAnsi="Times New Roman"/>
          <w:sz w:val="28"/>
          <w:szCs w:val="28"/>
        </w:rPr>
        <w:t xml:space="preserve"> </w:t>
      </w:r>
      <w:r w:rsidR="00CB61DE" w:rsidRPr="00CD542C">
        <w:rPr>
          <w:rFonts w:ascii="Times New Roman" w:hAnsi="Times New Roman"/>
          <w:sz w:val="28"/>
          <w:szCs w:val="28"/>
        </w:rPr>
        <w:t>tiene como objetivo</w:t>
      </w:r>
      <w:r w:rsidR="00DC4A1F" w:rsidRPr="00CD542C">
        <w:rPr>
          <w:rFonts w:ascii="Times New Roman" w:hAnsi="Times New Roman"/>
          <w:sz w:val="28"/>
          <w:szCs w:val="28"/>
        </w:rPr>
        <w:t xml:space="preserve"> combatir los estereotipos de género que permean la actividad judicial</w:t>
      </w:r>
      <w:r w:rsidR="00BA13F0" w:rsidRPr="00CD542C">
        <w:rPr>
          <w:rFonts w:ascii="Times New Roman" w:hAnsi="Times New Roman"/>
          <w:sz w:val="28"/>
          <w:szCs w:val="28"/>
        </w:rPr>
        <w:t>,</w:t>
      </w:r>
      <w:r w:rsidR="00DC4A1F" w:rsidRPr="00CD542C">
        <w:rPr>
          <w:rFonts w:ascii="Times New Roman" w:hAnsi="Times New Roman"/>
          <w:sz w:val="28"/>
          <w:szCs w:val="28"/>
        </w:rPr>
        <w:t xml:space="preserve"> al otorgar elementos objetivos que </w:t>
      </w:r>
      <w:r w:rsidR="006F69D6" w:rsidRPr="00CD542C">
        <w:rPr>
          <w:rFonts w:ascii="Times New Roman" w:hAnsi="Times New Roman"/>
          <w:sz w:val="28"/>
          <w:szCs w:val="28"/>
        </w:rPr>
        <w:t>conduzcan</w:t>
      </w:r>
      <w:r w:rsidR="00CB61DE" w:rsidRPr="00CD542C">
        <w:rPr>
          <w:rFonts w:ascii="Times New Roman" w:hAnsi="Times New Roman"/>
          <w:sz w:val="28"/>
          <w:szCs w:val="28"/>
        </w:rPr>
        <w:t xml:space="preserve"> la labor</w:t>
      </w:r>
      <w:r w:rsidR="00DC4A1F" w:rsidRPr="00CD542C">
        <w:rPr>
          <w:rFonts w:ascii="Times New Roman" w:hAnsi="Times New Roman"/>
          <w:sz w:val="28"/>
          <w:szCs w:val="28"/>
        </w:rPr>
        <w:t xml:space="preserve"> de los fiscales y los jueces hacia una mirada que reconozca las desigualdades estructurales que la penalización del feminicidio </w:t>
      </w:r>
      <w:r w:rsidR="00122DFA" w:rsidRPr="00CD542C">
        <w:rPr>
          <w:rFonts w:ascii="Times New Roman" w:hAnsi="Times New Roman"/>
          <w:sz w:val="28"/>
          <w:szCs w:val="28"/>
        </w:rPr>
        <w:t>busca sancionar</w:t>
      </w:r>
      <w:r w:rsidR="00DC4A1F" w:rsidRPr="00CD542C">
        <w:rPr>
          <w:rFonts w:ascii="Times New Roman" w:hAnsi="Times New Roman"/>
          <w:sz w:val="28"/>
          <w:szCs w:val="28"/>
        </w:rPr>
        <w:t>.</w:t>
      </w:r>
    </w:p>
    <w:p w:rsidR="004A5E56" w:rsidRPr="00CD542C" w:rsidRDefault="004A5E56" w:rsidP="00CD542C">
      <w:pPr>
        <w:spacing w:after="0" w:line="240" w:lineRule="auto"/>
        <w:jc w:val="both"/>
        <w:rPr>
          <w:rFonts w:ascii="Times New Roman" w:hAnsi="Times New Roman"/>
          <w:sz w:val="28"/>
          <w:szCs w:val="28"/>
        </w:rPr>
      </w:pPr>
    </w:p>
    <w:p w:rsidR="00DC4A1F"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4</w:t>
      </w:r>
      <w:r w:rsidR="00775213" w:rsidRPr="00CD542C">
        <w:rPr>
          <w:rFonts w:ascii="Times New Roman" w:hAnsi="Times New Roman"/>
          <w:sz w:val="28"/>
          <w:szCs w:val="28"/>
        </w:rPr>
        <w:t>5</w:t>
      </w:r>
      <w:r w:rsidR="00CF3D83" w:rsidRPr="00CD542C">
        <w:rPr>
          <w:rFonts w:ascii="Times New Roman" w:hAnsi="Times New Roman"/>
          <w:sz w:val="28"/>
          <w:szCs w:val="28"/>
        </w:rPr>
        <w:t xml:space="preserve">. </w:t>
      </w:r>
      <w:r w:rsidR="00053D35" w:rsidRPr="00CD542C">
        <w:rPr>
          <w:rFonts w:ascii="Times New Roman" w:hAnsi="Times New Roman"/>
          <w:sz w:val="28"/>
          <w:szCs w:val="28"/>
        </w:rPr>
        <w:t xml:space="preserve">En el contexto latinoamericano el feminicidio o femicidio ha sido tipificado como </w:t>
      </w:r>
      <w:r w:rsidR="00CF3D83" w:rsidRPr="00CD542C">
        <w:rPr>
          <w:rFonts w:ascii="Times New Roman" w:hAnsi="Times New Roman"/>
          <w:sz w:val="28"/>
          <w:szCs w:val="28"/>
        </w:rPr>
        <w:t xml:space="preserve">un </w:t>
      </w:r>
      <w:r w:rsidR="00FA4C49" w:rsidRPr="00CD542C">
        <w:rPr>
          <w:rFonts w:ascii="Times New Roman" w:hAnsi="Times New Roman"/>
          <w:sz w:val="28"/>
          <w:szCs w:val="28"/>
        </w:rPr>
        <w:t>delito</w:t>
      </w:r>
      <w:r w:rsidR="00053D35" w:rsidRPr="00CD542C">
        <w:rPr>
          <w:rFonts w:ascii="Times New Roman" w:hAnsi="Times New Roman"/>
          <w:sz w:val="28"/>
          <w:szCs w:val="28"/>
        </w:rPr>
        <w:t xml:space="preserve"> autónomo en Bolivia, Chile, Ecuador, E</w:t>
      </w:r>
      <w:r w:rsidR="00776D77" w:rsidRPr="00CD542C">
        <w:rPr>
          <w:rFonts w:ascii="Times New Roman" w:hAnsi="Times New Roman"/>
          <w:sz w:val="28"/>
          <w:szCs w:val="28"/>
        </w:rPr>
        <w:t xml:space="preserve">l Salvador, Guatemala, Honduras, </w:t>
      </w:r>
      <w:r w:rsidR="00053D35" w:rsidRPr="00CD542C">
        <w:rPr>
          <w:rFonts w:ascii="Times New Roman" w:hAnsi="Times New Roman"/>
          <w:sz w:val="28"/>
          <w:szCs w:val="28"/>
        </w:rPr>
        <w:t>México, Nicaragua, Panamá y Venezuela y como agravantes del homicidio en Argentina, Brasil, Costa Rica y Perú</w:t>
      </w:r>
      <w:r w:rsidR="00CF3D83" w:rsidRPr="00CD542C">
        <w:rPr>
          <w:rFonts w:ascii="Times New Roman" w:hAnsi="Times New Roman"/>
          <w:sz w:val="28"/>
          <w:szCs w:val="28"/>
        </w:rPr>
        <w:t xml:space="preserve"> bajo diferentes modalidades</w:t>
      </w:r>
      <w:r w:rsidR="00053D35" w:rsidRPr="00CD542C">
        <w:rPr>
          <w:rFonts w:ascii="Times New Roman" w:hAnsi="Times New Roman"/>
          <w:sz w:val="28"/>
          <w:szCs w:val="28"/>
        </w:rPr>
        <w:t xml:space="preserve">. </w:t>
      </w:r>
      <w:r w:rsidR="0086033A" w:rsidRPr="00CD542C">
        <w:rPr>
          <w:rFonts w:ascii="Times New Roman" w:hAnsi="Times New Roman"/>
          <w:sz w:val="28"/>
          <w:szCs w:val="28"/>
        </w:rPr>
        <w:t xml:space="preserve">En todos los países en los se establece como un delito autónomo éste incluye diferentes hechos contextuales </w:t>
      </w:r>
      <w:r w:rsidR="00BB2F94" w:rsidRPr="00CD542C">
        <w:rPr>
          <w:rFonts w:ascii="Times New Roman" w:hAnsi="Times New Roman"/>
          <w:sz w:val="28"/>
          <w:szCs w:val="28"/>
        </w:rPr>
        <w:t xml:space="preserve">en la descripción del hecho punible </w:t>
      </w:r>
      <w:r w:rsidR="0086033A" w:rsidRPr="00CD542C">
        <w:rPr>
          <w:rFonts w:ascii="Times New Roman" w:hAnsi="Times New Roman"/>
          <w:sz w:val="28"/>
          <w:szCs w:val="28"/>
        </w:rPr>
        <w:t>para determinar la intención</w:t>
      </w:r>
      <w:r w:rsidR="00195A4C" w:rsidRPr="00CD542C">
        <w:rPr>
          <w:rFonts w:ascii="Times New Roman" w:hAnsi="Times New Roman"/>
          <w:sz w:val="28"/>
          <w:szCs w:val="28"/>
        </w:rPr>
        <w:t xml:space="preserve">, a saber: </w:t>
      </w:r>
      <w:r w:rsidR="0086033A" w:rsidRPr="00CD542C">
        <w:rPr>
          <w:rFonts w:ascii="Times New Roman" w:hAnsi="Times New Roman"/>
          <w:sz w:val="28"/>
          <w:szCs w:val="28"/>
        </w:rPr>
        <w:t xml:space="preserve">elementos de periodicidad de violencia perpetrada contra la mujer, </w:t>
      </w:r>
      <w:r w:rsidR="00195A4C" w:rsidRPr="00CD542C">
        <w:rPr>
          <w:rFonts w:ascii="Times New Roman" w:hAnsi="Times New Roman"/>
          <w:sz w:val="28"/>
          <w:szCs w:val="28"/>
        </w:rPr>
        <w:t>indicios o</w:t>
      </w:r>
      <w:r w:rsidR="0086033A" w:rsidRPr="00CD542C">
        <w:rPr>
          <w:rFonts w:ascii="Times New Roman" w:hAnsi="Times New Roman"/>
          <w:sz w:val="28"/>
          <w:szCs w:val="28"/>
        </w:rPr>
        <w:t xml:space="preserve"> antecedentes de violencia, situaciones de aprovechamiento de cualquier condición de vulnerabilidad física o psíquica de la mujer, contextos de desigualdad basados en el género, menosprecio del cuerpo de la víctima para satisfacción de instintos sexuales, mut</w:t>
      </w:r>
      <w:r w:rsidR="002E4ADA" w:rsidRPr="00CD542C">
        <w:rPr>
          <w:rFonts w:ascii="Times New Roman" w:hAnsi="Times New Roman"/>
          <w:sz w:val="28"/>
          <w:szCs w:val="28"/>
        </w:rPr>
        <w:t>ilaciones genitales, secuestro,</w:t>
      </w:r>
      <w:r w:rsidR="0086033A" w:rsidRPr="00CD542C">
        <w:rPr>
          <w:rFonts w:ascii="Times New Roman" w:hAnsi="Times New Roman"/>
          <w:sz w:val="28"/>
          <w:szCs w:val="28"/>
        </w:rPr>
        <w:t xml:space="preserve"> intentos de establecer relaciones afect</w:t>
      </w:r>
      <w:r w:rsidR="002E4ADA" w:rsidRPr="00CD542C">
        <w:rPr>
          <w:rFonts w:ascii="Times New Roman" w:hAnsi="Times New Roman"/>
          <w:sz w:val="28"/>
          <w:szCs w:val="28"/>
        </w:rPr>
        <w:t>ivas y circunstancias de ritos grupales,</w:t>
      </w:r>
      <w:r w:rsidR="0086033A" w:rsidRPr="00CD542C">
        <w:rPr>
          <w:rFonts w:ascii="Times New Roman" w:hAnsi="Times New Roman"/>
          <w:sz w:val="28"/>
          <w:szCs w:val="28"/>
        </w:rPr>
        <w:t xml:space="preserve"> entre otros.  </w:t>
      </w:r>
    </w:p>
    <w:p w:rsidR="00DC4A1F" w:rsidRPr="00CD542C" w:rsidRDefault="00DC4A1F" w:rsidP="00CD542C">
      <w:pPr>
        <w:spacing w:after="0" w:line="240" w:lineRule="auto"/>
        <w:jc w:val="both"/>
        <w:rPr>
          <w:rFonts w:ascii="Times New Roman" w:hAnsi="Times New Roman"/>
          <w:sz w:val="28"/>
          <w:szCs w:val="28"/>
        </w:rPr>
      </w:pPr>
    </w:p>
    <w:p w:rsidR="00053D35" w:rsidRPr="00CD542C" w:rsidRDefault="00410A5B"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Específicamente, en los casos de </w:t>
      </w:r>
      <w:r w:rsidR="00D3747A" w:rsidRPr="00CD542C">
        <w:rPr>
          <w:rFonts w:ascii="Times New Roman" w:hAnsi="Times New Roman"/>
          <w:sz w:val="28"/>
          <w:szCs w:val="28"/>
        </w:rPr>
        <w:t>Bolivia</w:t>
      </w:r>
      <w:r w:rsidR="00D3747A" w:rsidRPr="00CD542C">
        <w:rPr>
          <w:rStyle w:val="Refdenotaalpie"/>
          <w:rFonts w:ascii="Times New Roman" w:hAnsi="Times New Roman"/>
          <w:sz w:val="28"/>
          <w:szCs w:val="28"/>
        </w:rPr>
        <w:footnoteReference w:id="104"/>
      </w:r>
      <w:r w:rsidR="00D3747A" w:rsidRPr="00CD542C">
        <w:rPr>
          <w:rFonts w:ascii="Times New Roman" w:hAnsi="Times New Roman"/>
          <w:sz w:val="28"/>
          <w:szCs w:val="28"/>
        </w:rPr>
        <w:t xml:space="preserve">, </w:t>
      </w:r>
      <w:r w:rsidRPr="00CD542C">
        <w:rPr>
          <w:rFonts w:ascii="Times New Roman" w:hAnsi="Times New Roman"/>
          <w:sz w:val="28"/>
          <w:szCs w:val="28"/>
        </w:rPr>
        <w:t>El Salvador</w:t>
      </w:r>
      <w:r w:rsidRPr="00CD542C">
        <w:rPr>
          <w:rStyle w:val="Refdenotaalpie"/>
          <w:rFonts w:ascii="Times New Roman" w:hAnsi="Times New Roman"/>
          <w:sz w:val="28"/>
          <w:szCs w:val="28"/>
        </w:rPr>
        <w:footnoteReference w:id="105"/>
      </w:r>
      <w:r w:rsidRPr="00CD542C">
        <w:rPr>
          <w:rFonts w:ascii="Times New Roman" w:hAnsi="Times New Roman"/>
          <w:sz w:val="28"/>
          <w:szCs w:val="28"/>
        </w:rPr>
        <w:t>, Guatemala</w:t>
      </w:r>
      <w:r w:rsidRPr="00CD542C">
        <w:rPr>
          <w:rStyle w:val="Refdenotaalpie"/>
          <w:rFonts w:ascii="Times New Roman" w:hAnsi="Times New Roman"/>
          <w:sz w:val="28"/>
          <w:szCs w:val="28"/>
        </w:rPr>
        <w:footnoteReference w:id="106"/>
      </w:r>
      <w:r w:rsidR="00D3747A" w:rsidRPr="00CD542C">
        <w:rPr>
          <w:rFonts w:ascii="Times New Roman" w:hAnsi="Times New Roman"/>
          <w:sz w:val="28"/>
          <w:szCs w:val="28"/>
        </w:rPr>
        <w:t>, México</w:t>
      </w:r>
      <w:r w:rsidR="00D3747A" w:rsidRPr="00CD542C">
        <w:rPr>
          <w:rStyle w:val="Refdenotaalpie"/>
          <w:rFonts w:ascii="Times New Roman" w:hAnsi="Times New Roman"/>
          <w:sz w:val="28"/>
          <w:szCs w:val="28"/>
        </w:rPr>
        <w:footnoteReference w:id="107"/>
      </w:r>
      <w:r w:rsidR="00446B2D" w:rsidRPr="00CD542C">
        <w:rPr>
          <w:rFonts w:ascii="Times New Roman" w:hAnsi="Times New Roman"/>
          <w:sz w:val="28"/>
          <w:szCs w:val="28"/>
        </w:rPr>
        <w:t xml:space="preserve"> y</w:t>
      </w:r>
      <w:r w:rsidR="00D3747A" w:rsidRPr="00CD542C">
        <w:rPr>
          <w:rFonts w:ascii="Times New Roman" w:hAnsi="Times New Roman"/>
          <w:sz w:val="28"/>
          <w:szCs w:val="28"/>
        </w:rPr>
        <w:t xml:space="preserve"> Nicaragua</w:t>
      </w:r>
      <w:r w:rsidR="00D3747A" w:rsidRPr="00CD542C">
        <w:rPr>
          <w:rStyle w:val="Refdenotaalpie"/>
          <w:rFonts w:ascii="Times New Roman" w:hAnsi="Times New Roman"/>
          <w:sz w:val="28"/>
          <w:szCs w:val="28"/>
        </w:rPr>
        <w:footnoteReference w:id="108"/>
      </w:r>
      <w:r w:rsidRPr="00CD542C">
        <w:rPr>
          <w:rFonts w:ascii="Times New Roman" w:hAnsi="Times New Roman"/>
          <w:sz w:val="28"/>
          <w:szCs w:val="28"/>
        </w:rPr>
        <w:t xml:space="preserve"> las circunstancias de violencia anterior al homicidio </w:t>
      </w:r>
      <w:r w:rsidRPr="00CD542C">
        <w:rPr>
          <w:rFonts w:ascii="Times New Roman" w:hAnsi="Times New Roman"/>
          <w:sz w:val="28"/>
          <w:szCs w:val="28"/>
        </w:rPr>
        <w:lastRenderedPageBreak/>
        <w:t>se integran al tipo como elementos inescindiblemente ligados</w:t>
      </w:r>
      <w:r w:rsidR="00775DBE" w:rsidRPr="00CD542C">
        <w:rPr>
          <w:rFonts w:ascii="Times New Roman" w:hAnsi="Times New Roman"/>
          <w:sz w:val="28"/>
          <w:szCs w:val="28"/>
        </w:rPr>
        <w:t xml:space="preserve"> a la determinación del ingrediente</w:t>
      </w:r>
      <w:r w:rsidRPr="00CD542C">
        <w:rPr>
          <w:rFonts w:ascii="Times New Roman" w:hAnsi="Times New Roman"/>
          <w:sz w:val="28"/>
          <w:szCs w:val="28"/>
        </w:rPr>
        <w:t xml:space="preserve"> subjetivo, es decir</w:t>
      </w:r>
      <w:r w:rsidR="00775DBE" w:rsidRPr="00CD542C">
        <w:rPr>
          <w:rFonts w:ascii="Times New Roman" w:hAnsi="Times New Roman"/>
          <w:sz w:val="28"/>
          <w:szCs w:val="28"/>
        </w:rPr>
        <w:t>,</w:t>
      </w:r>
      <w:r w:rsidRPr="00CD542C">
        <w:rPr>
          <w:rFonts w:ascii="Times New Roman" w:hAnsi="Times New Roman"/>
          <w:sz w:val="28"/>
          <w:szCs w:val="28"/>
        </w:rPr>
        <w:t xml:space="preserve"> el asesinato por el hecho de ser mujer</w:t>
      </w:r>
      <w:r w:rsidR="00775DBE" w:rsidRPr="00CD542C">
        <w:rPr>
          <w:rFonts w:ascii="Times New Roman" w:hAnsi="Times New Roman"/>
          <w:sz w:val="28"/>
          <w:szCs w:val="28"/>
        </w:rPr>
        <w:t xml:space="preserve"> o por motivos de identidad de género</w:t>
      </w:r>
      <w:r w:rsidRPr="00CD542C">
        <w:rPr>
          <w:rFonts w:ascii="Times New Roman" w:hAnsi="Times New Roman"/>
          <w:sz w:val="28"/>
          <w:szCs w:val="28"/>
        </w:rPr>
        <w:t>. En</w:t>
      </w:r>
      <w:r w:rsidR="00776D77" w:rsidRPr="00CD542C">
        <w:rPr>
          <w:rFonts w:ascii="Times New Roman" w:hAnsi="Times New Roman"/>
          <w:sz w:val="28"/>
          <w:szCs w:val="28"/>
        </w:rPr>
        <w:t xml:space="preserve"> </w:t>
      </w:r>
      <w:r w:rsidR="00446B2D" w:rsidRPr="00CD542C">
        <w:rPr>
          <w:rFonts w:ascii="Times New Roman" w:hAnsi="Times New Roman"/>
          <w:sz w:val="28"/>
          <w:szCs w:val="28"/>
        </w:rPr>
        <w:t xml:space="preserve">todos estos </w:t>
      </w:r>
      <w:r w:rsidRPr="00CD542C">
        <w:rPr>
          <w:rFonts w:ascii="Times New Roman" w:hAnsi="Times New Roman"/>
          <w:sz w:val="28"/>
          <w:szCs w:val="28"/>
        </w:rPr>
        <w:t xml:space="preserve">casos la violencia se caracteriza </w:t>
      </w:r>
      <w:r w:rsidR="0007785F" w:rsidRPr="00CD542C">
        <w:rPr>
          <w:rFonts w:ascii="Times New Roman" w:hAnsi="Times New Roman"/>
          <w:sz w:val="28"/>
          <w:szCs w:val="28"/>
        </w:rPr>
        <w:t>sin una calificación adicional</w:t>
      </w:r>
      <w:r w:rsidRPr="00CD542C">
        <w:rPr>
          <w:rFonts w:ascii="Times New Roman" w:hAnsi="Times New Roman"/>
          <w:sz w:val="28"/>
          <w:szCs w:val="28"/>
        </w:rPr>
        <w:t xml:space="preserve"> y no requiere de denuncia previa.</w:t>
      </w:r>
    </w:p>
    <w:p w:rsidR="00344A7A" w:rsidRPr="00CD542C" w:rsidRDefault="00344A7A" w:rsidP="00CD542C">
      <w:pPr>
        <w:spacing w:after="0" w:line="240" w:lineRule="auto"/>
        <w:jc w:val="both"/>
        <w:rPr>
          <w:rFonts w:ascii="Times New Roman" w:hAnsi="Times New Roman"/>
          <w:sz w:val="28"/>
          <w:szCs w:val="28"/>
        </w:rPr>
      </w:pPr>
    </w:p>
    <w:p w:rsidR="00CF3D83"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4</w:t>
      </w:r>
      <w:r w:rsidR="00775213" w:rsidRPr="00CD542C">
        <w:rPr>
          <w:rFonts w:ascii="Times New Roman" w:hAnsi="Times New Roman"/>
          <w:sz w:val="28"/>
          <w:szCs w:val="28"/>
        </w:rPr>
        <w:t>6</w:t>
      </w:r>
      <w:r w:rsidR="00CF3D83" w:rsidRPr="00CD542C">
        <w:rPr>
          <w:rFonts w:ascii="Times New Roman" w:hAnsi="Times New Roman"/>
          <w:sz w:val="28"/>
          <w:szCs w:val="28"/>
        </w:rPr>
        <w:t xml:space="preserve">. Por lo tanto, </w:t>
      </w:r>
      <w:r w:rsidR="00FA4C49" w:rsidRPr="00CD542C">
        <w:rPr>
          <w:rFonts w:ascii="Times New Roman" w:hAnsi="Times New Roman"/>
          <w:sz w:val="28"/>
          <w:szCs w:val="28"/>
        </w:rPr>
        <w:t xml:space="preserve">de </w:t>
      </w:r>
      <w:r w:rsidR="00CF3D83" w:rsidRPr="00CD542C">
        <w:rPr>
          <w:rFonts w:ascii="Times New Roman" w:hAnsi="Times New Roman"/>
          <w:sz w:val="28"/>
          <w:szCs w:val="28"/>
        </w:rPr>
        <w:t xml:space="preserve">los elementos conceptuales </w:t>
      </w:r>
      <w:r w:rsidR="00FA4C49" w:rsidRPr="00CD542C">
        <w:rPr>
          <w:rFonts w:ascii="Times New Roman" w:hAnsi="Times New Roman"/>
          <w:sz w:val="28"/>
          <w:szCs w:val="28"/>
        </w:rPr>
        <w:t xml:space="preserve">que se desprenden </w:t>
      </w:r>
      <w:r w:rsidR="00CF3D83" w:rsidRPr="00CD542C">
        <w:rPr>
          <w:rFonts w:ascii="Times New Roman" w:hAnsi="Times New Roman"/>
          <w:sz w:val="28"/>
          <w:szCs w:val="28"/>
        </w:rPr>
        <w:t>de los pronunciamientos de instancias internacionales de derechos humanos</w:t>
      </w:r>
      <w:r w:rsidR="00FA4C49" w:rsidRPr="00CD542C">
        <w:rPr>
          <w:rFonts w:ascii="Times New Roman" w:hAnsi="Times New Roman"/>
          <w:sz w:val="28"/>
          <w:szCs w:val="28"/>
        </w:rPr>
        <w:t xml:space="preserve"> y de la</w:t>
      </w:r>
      <w:r w:rsidR="00CF3D83" w:rsidRPr="00CD542C">
        <w:rPr>
          <w:rFonts w:ascii="Times New Roman" w:hAnsi="Times New Roman"/>
          <w:sz w:val="28"/>
          <w:szCs w:val="28"/>
        </w:rPr>
        <w:t xml:space="preserve"> tipificación del feminicidio en diferentes regímenes </w:t>
      </w:r>
      <w:r w:rsidR="00CB61DE" w:rsidRPr="00CD542C">
        <w:rPr>
          <w:rFonts w:ascii="Times New Roman" w:hAnsi="Times New Roman"/>
          <w:sz w:val="28"/>
          <w:szCs w:val="28"/>
        </w:rPr>
        <w:t>se puede concluir</w:t>
      </w:r>
      <w:r w:rsidR="00CF3D83" w:rsidRPr="00CD542C">
        <w:rPr>
          <w:rFonts w:ascii="Times New Roman" w:hAnsi="Times New Roman"/>
          <w:sz w:val="28"/>
          <w:szCs w:val="28"/>
        </w:rPr>
        <w:t xml:space="preserve"> que la violencia anter</w:t>
      </w:r>
      <w:r w:rsidR="00FA4C49" w:rsidRPr="00CD542C">
        <w:rPr>
          <w:rFonts w:ascii="Times New Roman" w:hAnsi="Times New Roman"/>
          <w:sz w:val="28"/>
          <w:szCs w:val="28"/>
        </w:rPr>
        <w:t>ior al homicidio de una mujer</w:t>
      </w:r>
      <w:r w:rsidR="00002B31" w:rsidRPr="00CD542C">
        <w:rPr>
          <w:rFonts w:ascii="Times New Roman" w:hAnsi="Times New Roman"/>
          <w:sz w:val="28"/>
          <w:szCs w:val="28"/>
        </w:rPr>
        <w:t>, así como otros elementos contextuales,</w:t>
      </w:r>
      <w:r w:rsidR="00FA4C49" w:rsidRPr="00CD542C">
        <w:rPr>
          <w:rFonts w:ascii="Times New Roman" w:hAnsi="Times New Roman"/>
          <w:sz w:val="28"/>
          <w:szCs w:val="28"/>
        </w:rPr>
        <w:t xml:space="preserve"> </w:t>
      </w:r>
      <w:r w:rsidR="00002B31" w:rsidRPr="00CD542C">
        <w:rPr>
          <w:rFonts w:ascii="Times New Roman" w:hAnsi="Times New Roman"/>
          <w:sz w:val="28"/>
          <w:szCs w:val="28"/>
        </w:rPr>
        <w:t xml:space="preserve">son </w:t>
      </w:r>
      <w:r w:rsidR="00CF3D83" w:rsidRPr="00CD542C">
        <w:rPr>
          <w:rFonts w:ascii="Times New Roman" w:hAnsi="Times New Roman"/>
          <w:sz w:val="28"/>
          <w:szCs w:val="28"/>
        </w:rPr>
        <w:t>determinante</w:t>
      </w:r>
      <w:r w:rsidR="00002B31" w:rsidRPr="00CD542C">
        <w:rPr>
          <w:rFonts w:ascii="Times New Roman" w:hAnsi="Times New Roman"/>
          <w:sz w:val="28"/>
          <w:szCs w:val="28"/>
        </w:rPr>
        <w:t>s</w:t>
      </w:r>
      <w:r w:rsidR="00CF3D83" w:rsidRPr="00CD542C">
        <w:rPr>
          <w:rFonts w:ascii="Times New Roman" w:hAnsi="Times New Roman"/>
          <w:sz w:val="28"/>
          <w:szCs w:val="28"/>
        </w:rPr>
        <w:t xml:space="preserve"> para establecer si se trata de un feminicidio o de un homicidio. En este sentido, dicha violencia </w:t>
      </w:r>
      <w:r w:rsidR="00FA4C49" w:rsidRPr="00CD542C">
        <w:rPr>
          <w:rFonts w:ascii="Times New Roman" w:hAnsi="Times New Roman"/>
          <w:sz w:val="28"/>
          <w:szCs w:val="28"/>
        </w:rPr>
        <w:t>n</w:t>
      </w:r>
      <w:r w:rsidR="00CF3D83" w:rsidRPr="00CD542C">
        <w:rPr>
          <w:rFonts w:ascii="Times New Roman" w:hAnsi="Times New Roman"/>
          <w:sz w:val="28"/>
          <w:szCs w:val="28"/>
        </w:rPr>
        <w:t>o se analiza como un criterio de valor respecto del sujeto</w:t>
      </w:r>
      <w:r w:rsidR="00002B31" w:rsidRPr="00CD542C">
        <w:rPr>
          <w:rFonts w:ascii="Times New Roman" w:hAnsi="Times New Roman"/>
          <w:sz w:val="28"/>
          <w:szCs w:val="28"/>
        </w:rPr>
        <w:t xml:space="preserve"> activo, sino como un elemento</w:t>
      </w:r>
      <w:r w:rsidR="008F71F7" w:rsidRPr="00CD542C">
        <w:rPr>
          <w:rFonts w:ascii="Times New Roman" w:hAnsi="Times New Roman"/>
          <w:sz w:val="28"/>
          <w:szCs w:val="28"/>
        </w:rPr>
        <w:t xml:space="preserve"> que puede dar paso a verificar</w:t>
      </w:r>
      <w:r w:rsidR="00CF3D83" w:rsidRPr="00CD542C">
        <w:rPr>
          <w:rFonts w:ascii="Times New Roman" w:hAnsi="Times New Roman"/>
          <w:sz w:val="28"/>
          <w:szCs w:val="28"/>
        </w:rPr>
        <w:t xml:space="preserve"> patrones de discriminación en las relaciones entre el sujeto activo y el sujeto pasivo de la conducta q</w:t>
      </w:r>
      <w:r w:rsidR="00002B31" w:rsidRPr="00CD542C">
        <w:rPr>
          <w:rFonts w:ascii="Times New Roman" w:hAnsi="Times New Roman"/>
          <w:sz w:val="28"/>
          <w:szCs w:val="28"/>
        </w:rPr>
        <w:t>ue configuren el ingrediente</w:t>
      </w:r>
      <w:r w:rsidR="00CF3D83" w:rsidRPr="00CD542C">
        <w:rPr>
          <w:rFonts w:ascii="Times New Roman" w:hAnsi="Times New Roman"/>
          <w:sz w:val="28"/>
          <w:szCs w:val="28"/>
        </w:rPr>
        <w:t xml:space="preserve"> intencional en el feminicidio</w:t>
      </w:r>
      <w:r w:rsidR="00B05D90" w:rsidRPr="00CD542C">
        <w:rPr>
          <w:rFonts w:ascii="Times New Roman" w:hAnsi="Times New Roman"/>
          <w:sz w:val="28"/>
          <w:szCs w:val="28"/>
        </w:rPr>
        <w:t xml:space="preserve"> y que reconoce la dificultad probatoria del delito. Luego, la inclusión de los elementos contextuales en los tipos penales busca guiar la labor de la administración de justicia hacia un derecho penal con una perspectiva de género que tenga herramientas para superar el mismo fenómeno social que no permite identificar las condiciones de discriminación de la mujer.</w:t>
      </w:r>
      <w:r w:rsidR="00CF3D83" w:rsidRPr="00CD542C">
        <w:rPr>
          <w:rFonts w:ascii="Times New Roman" w:hAnsi="Times New Roman"/>
          <w:sz w:val="28"/>
          <w:szCs w:val="28"/>
        </w:rPr>
        <w:t xml:space="preserve"> </w:t>
      </w:r>
    </w:p>
    <w:p w:rsidR="00CF3D83" w:rsidRPr="00CD542C" w:rsidRDefault="00CF3D83" w:rsidP="00CD542C">
      <w:pPr>
        <w:spacing w:after="0" w:line="240" w:lineRule="auto"/>
        <w:jc w:val="both"/>
        <w:rPr>
          <w:rFonts w:ascii="Times New Roman" w:hAnsi="Times New Roman"/>
          <w:sz w:val="28"/>
          <w:szCs w:val="28"/>
        </w:rPr>
      </w:pPr>
    </w:p>
    <w:p w:rsidR="008D6AC8" w:rsidRPr="00CD542C" w:rsidRDefault="008F71F7" w:rsidP="00CD542C">
      <w:pPr>
        <w:spacing w:after="0" w:line="240" w:lineRule="auto"/>
        <w:jc w:val="both"/>
        <w:rPr>
          <w:rFonts w:ascii="Times New Roman" w:hAnsi="Times New Roman"/>
          <w:sz w:val="28"/>
          <w:szCs w:val="28"/>
        </w:rPr>
      </w:pPr>
      <w:r w:rsidRPr="00CD542C">
        <w:rPr>
          <w:rFonts w:ascii="Times New Roman" w:hAnsi="Times New Roman"/>
          <w:sz w:val="28"/>
          <w:szCs w:val="28"/>
        </w:rPr>
        <w:t>Esta caracterización</w:t>
      </w:r>
      <w:r w:rsidR="00BA13F0" w:rsidRPr="00CD542C">
        <w:rPr>
          <w:rFonts w:ascii="Times New Roman" w:hAnsi="Times New Roman"/>
          <w:sz w:val="28"/>
          <w:szCs w:val="28"/>
        </w:rPr>
        <w:t xml:space="preserve"> es coherente con la obligación de debida diligencia de los Estados de prevenir, investigar y sancionar la violencia contra las mujeres, frente a la evidencia contundente de los altos grados de impunidad que las formas tradicionales de política criminal no han logrado combatir. Entonces, la garantía del acceso a la justicia para las mujeres supone un cambio estructural en el acercamiento del derecho penal para que la tipificación de las conductas que violan sus derechos humanos</w:t>
      </w:r>
      <w:r w:rsidR="00C937C5" w:rsidRPr="00CD542C">
        <w:rPr>
          <w:rFonts w:ascii="Times New Roman" w:hAnsi="Times New Roman"/>
          <w:sz w:val="28"/>
          <w:szCs w:val="28"/>
        </w:rPr>
        <w:t>,</w:t>
      </w:r>
      <w:r w:rsidR="009E3688" w:rsidRPr="00CD542C">
        <w:rPr>
          <w:rFonts w:ascii="Times New Roman" w:hAnsi="Times New Roman"/>
          <w:sz w:val="28"/>
          <w:szCs w:val="28"/>
        </w:rPr>
        <w:t xml:space="preserve"> su investigación y sanción</w:t>
      </w:r>
      <w:r w:rsidR="00BA13F0" w:rsidRPr="00CD542C">
        <w:rPr>
          <w:rFonts w:ascii="Times New Roman" w:hAnsi="Times New Roman"/>
          <w:sz w:val="28"/>
          <w:szCs w:val="28"/>
        </w:rPr>
        <w:t xml:space="preserve"> integren una perspectiva de género. </w:t>
      </w:r>
    </w:p>
    <w:p w:rsidR="008D6AC8" w:rsidRPr="00CD542C" w:rsidRDefault="008D6AC8" w:rsidP="00CD542C">
      <w:pPr>
        <w:spacing w:after="0" w:line="240" w:lineRule="auto"/>
        <w:jc w:val="both"/>
        <w:rPr>
          <w:rFonts w:ascii="Times New Roman" w:hAnsi="Times New Roman"/>
          <w:sz w:val="28"/>
          <w:szCs w:val="28"/>
        </w:rPr>
      </w:pPr>
    </w:p>
    <w:p w:rsidR="00BD528C" w:rsidRPr="00CD542C" w:rsidRDefault="00BD528C" w:rsidP="00CD542C">
      <w:pPr>
        <w:spacing w:after="0" w:line="240" w:lineRule="auto"/>
        <w:jc w:val="both"/>
        <w:rPr>
          <w:rFonts w:ascii="Times New Roman" w:hAnsi="Times New Roman"/>
          <w:sz w:val="28"/>
          <w:szCs w:val="28"/>
        </w:rPr>
      </w:pPr>
      <w:r w:rsidRPr="00CD542C">
        <w:rPr>
          <w:rFonts w:ascii="Times New Roman" w:hAnsi="Times New Roman"/>
          <w:sz w:val="28"/>
          <w:szCs w:val="28"/>
        </w:rPr>
        <w:t>Una vez establecido el marco constitucional aplicable al caso</w:t>
      </w:r>
      <w:r w:rsidR="00D12DBA" w:rsidRPr="00CD542C">
        <w:rPr>
          <w:rFonts w:ascii="Times New Roman" w:hAnsi="Times New Roman"/>
          <w:sz w:val="28"/>
          <w:szCs w:val="28"/>
        </w:rPr>
        <w:t>,</w:t>
      </w:r>
      <w:r w:rsidRPr="00CD542C">
        <w:rPr>
          <w:rFonts w:ascii="Times New Roman" w:hAnsi="Times New Roman"/>
          <w:sz w:val="28"/>
          <w:szCs w:val="28"/>
        </w:rPr>
        <w:t xml:space="preserve"> se pasa a resolver el problema jurídico planteado.</w:t>
      </w:r>
    </w:p>
    <w:p w:rsidR="00BD528C" w:rsidRPr="00CD542C" w:rsidRDefault="00BD528C" w:rsidP="00CD542C">
      <w:pPr>
        <w:spacing w:after="0" w:line="240" w:lineRule="auto"/>
        <w:jc w:val="both"/>
        <w:rPr>
          <w:rFonts w:ascii="Times New Roman" w:hAnsi="Times New Roman"/>
          <w:sz w:val="28"/>
          <w:szCs w:val="28"/>
        </w:rPr>
      </w:pPr>
    </w:p>
    <w:p w:rsidR="003B4106" w:rsidRPr="00CD542C" w:rsidRDefault="000E6EBE" w:rsidP="00CD542C">
      <w:pPr>
        <w:spacing w:after="0" w:line="240" w:lineRule="auto"/>
        <w:jc w:val="both"/>
        <w:rPr>
          <w:rFonts w:ascii="Times New Roman" w:hAnsi="Times New Roman"/>
          <w:b/>
          <w:sz w:val="28"/>
          <w:szCs w:val="28"/>
        </w:rPr>
      </w:pPr>
      <w:r w:rsidRPr="00CD542C">
        <w:rPr>
          <w:rFonts w:ascii="Times New Roman" w:hAnsi="Times New Roman"/>
          <w:b/>
          <w:sz w:val="28"/>
          <w:szCs w:val="28"/>
        </w:rPr>
        <w:t xml:space="preserve">El </w:t>
      </w:r>
      <w:r w:rsidR="00776D77" w:rsidRPr="00CD542C">
        <w:rPr>
          <w:rFonts w:ascii="Times New Roman" w:hAnsi="Times New Roman"/>
          <w:b/>
          <w:sz w:val="28"/>
          <w:szCs w:val="28"/>
        </w:rPr>
        <w:t xml:space="preserve">literal e) </w:t>
      </w:r>
      <w:r w:rsidR="009942DC" w:rsidRPr="00CD542C">
        <w:rPr>
          <w:rFonts w:ascii="Times New Roman" w:hAnsi="Times New Roman"/>
          <w:b/>
          <w:sz w:val="28"/>
          <w:szCs w:val="28"/>
        </w:rPr>
        <w:t>del artículo 2 de la Ley 1761 de 2015</w:t>
      </w:r>
      <w:r w:rsidR="00221D31" w:rsidRPr="00CD542C">
        <w:rPr>
          <w:rFonts w:ascii="Times New Roman" w:hAnsi="Times New Roman"/>
          <w:b/>
          <w:sz w:val="28"/>
          <w:szCs w:val="28"/>
        </w:rPr>
        <w:t xml:space="preserve"> no viola el principio de legalidad</w:t>
      </w:r>
      <w:r w:rsidR="00F2458C" w:rsidRPr="00CD542C">
        <w:rPr>
          <w:rFonts w:ascii="Times New Roman" w:hAnsi="Times New Roman"/>
          <w:b/>
          <w:sz w:val="28"/>
          <w:szCs w:val="28"/>
        </w:rPr>
        <w:t xml:space="preserve"> en el entendido de que los antecedentes, indicios o amenazas de violencia a los</w:t>
      </w:r>
      <w:r w:rsidR="009942DC" w:rsidRPr="00CD542C">
        <w:rPr>
          <w:rFonts w:ascii="Times New Roman" w:hAnsi="Times New Roman"/>
          <w:b/>
          <w:sz w:val="28"/>
          <w:szCs w:val="28"/>
        </w:rPr>
        <w:t xml:space="preserve"> que se refiere </w:t>
      </w:r>
      <w:r w:rsidR="000257E4" w:rsidRPr="00CD542C">
        <w:rPr>
          <w:rFonts w:ascii="Times New Roman" w:hAnsi="Times New Roman"/>
          <w:b/>
          <w:sz w:val="28"/>
          <w:szCs w:val="28"/>
        </w:rPr>
        <w:t>constituyen formas de</w:t>
      </w:r>
      <w:r w:rsidR="0021224A" w:rsidRPr="00CD542C">
        <w:rPr>
          <w:rFonts w:ascii="Times New Roman" w:hAnsi="Times New Roman"/>
          <w:b/>
          <w:sz w:val="28"/>
          <w:szCs w:val="28"/>
        </w:rPr>
        <w:t xml:space="preserve"> violencia de género</w:t>
      </w:r>
      <w:r w:rsidR="009942DC" w:rsidRPr="00CD542C">
        <w:rPr>
          <w:rFonts w:ascii="Times New Roman" w:hAnsi="Times New Roman"/>
          <w:b/>
          <w:sz w:val="28"/>
          <w:szCs w:val="28"/>
        </w:rPr>
        <w:t xml:space="preserve"> como una circunstancia </w:t>
      </w:r>
      <w:r w:rsidR="0021224A" w:rsidRPr="00CD542C">
        <w:rPr>
          <w:rFonts w:ascii="Times New Roman" w:hAnsi="Times New Roman"/>
          <w:b/>
          <w:sz w:val="28"/>
          <w:szCs w:val="28"/>
        </w:rPr>
        <w:t xml:space="preserve">contextual </w:t>
      </w:r>
      <w:r w:rsidR="009942DC" w:rsidRPr="00CD542C">
        <w:rPr>
          <w:rFonts w:ascii="Times New Roman" w:hAnsi="Times New Roman"/>
          <w:b/>
          <w:sz w:val="28"/>
          <w:szCs w:val="28"/>
        </w:rPr>
        <w:t xml:space="preserve">para determinar el </w:t>
      </w:r>
      <w:r w:rsidR="00D1364B" w:rsidRPr="00CD542C">
        <w:rPr>
          <w:rFonts w:ascii="Times New Roman" w:hAnsi="Times New Roman"/>
          <w:b/>
          <w:sz w:val="28"/>
          <w:szCs w:val="28"/>
        </w:rPr>
        <w:t>móvil</w:t>
      </w:r>
      <w:r w:rsidR="009942DC" w:rsidRPr="00CD542C">
        <w:rPr>
          <w:rFonts w:ascii="Times New Roman" w:hAnsi="Times New Roman"/>
          <w:b/>
          <w:sz w:val="28"/>
          <w:szCs w:val="28"/>
        </w:rPr>
        <w:t>: la intención de matar por el hecho de ser mujer.</w:t>
      </w:r>
    </w:p>
    <w:p w:rsidR="00221D31" w:rsidRPr="00CD542C" w:rsidRDefault="00221D31" w:rsidP="00CD542C">
      <w:pPr>
        <w:spacing w:after="0" w:line="240" w:lineRule="auto"/>
        <w:rPr>
          <w:rFonts w:ascii="Times New Roman" w:hAnsi="Times New Roman"/>
          <w:sz w:val="28"/>
          <w:szCs w:val="28"/>
        </w:rPr>
      </w:pPr>
    </w:p>
    <w:p w:rsidR="00221D31" w:rsidRPr="00CD542C" w:rsidRDefault="00D82936" w:rsidP="00CD542C">
      <w:pPr>
        <w:spacing w:after="0" w:line="240" w:lineRule="auto"/>
        <w:jc w:val="both"/>
        <w:rPr>
          <w:rFonts w:ascii="Times New Roman" w:hAnsi="Times New Roman"/>
          <w:iCs/>
          <w:sz w:val="28"/>
          <w:szCs w:val="28"/>
          <w:lang w:eastAsia="es-ES"/>
        </w:rPr>
      </w:pPr>
      <w:r w:rsidRPr="00CD542C">
        <w:rPr>
          <w:rFonts w:ascii="Times New Roman" w:hAnsi="Times New Roman"/>
          <w:iCs/>
          <w:sz w:val="28"/>
          <w:szCs w:val="28"/>
          <w:lang w:eastAsia="es-ES"/>
        </w:rPr>
        <w:lastRenderedPageBreak/>
        <w:t>4</w:t>
      </w:r>
      <w:r w:rsidR="00775213" w:rsidRPr="00CD542C">
        <w:rPr>
          <w:rFonts w:ascii="Times New Roman" w:hAnsi="Times New Roman"/>
          <w:iCs/>
          <w:sz w:val="28"/>
          <w:szCs w:val="28"/>
          <w:lang w:eastAsia="es-ES"/>
        </w:rPr>
        <w:t>7</w:t>
      </w:r>
      <w:r w:rsidR="00E3374F" w:rsidRPr="00CD542C">
        <w:rPr>
          <w:rFonts w:ascii="Times New Roman" w:hAnsi="Times New Roman"/>
          <w:iCs/>
          <w:sz w:val="28"/>
          <w:szCs w:val="28"/>
          <w:lang w:eastAsia="es-ES"/>
        </w:rPr>
        <w:t xml:space="preserve">. </w:t>
      </w:r>
      <w:r w:rsidR="00221D31" w:rsidRPr="00CD542C">
        <w:rPr>
          <w:rFonts w:ascii="Times New Roman" w:hAnsi="Times New Roman"/>
          <w:iCs/>
          <w:sz w:val="28"/>
          <w:szCs w:val="28"/>
          <w:lang w:eastAsia="es-ES"/>
        </w:rPr>
        <w:t xml:space="preserve">El demandante considera que la determinación de antecedentes o indicios de </w:t>
      </w:r>
      <w:r w:rsidR="00731C46" w:rsidRPr="00CD542C">
        <w:rPr>
          <w:rFonts w:ascii="Times New Roman" w:hAnsi="Times New Roman"/>
          <w:iCs/>
          <w:sz w:val="28"/>
          <w:szCs w:val="28"/>
          <w:lang w:eastAsia="es-ES"/>
        </w:rPr>
        <w:t xml:space="preserve">cualquier tipo de </w:t>
      </w:r>
      <w:r w:rsidR="00221D31" w:rsidRPr="00CD542C">
        <w:rPr>
          <w:rFonts w:ascii="Times New Roman" w:hAnsi="Times New Roman"/>
          <w:iCs/>
          <w:sz w:val="28"/>
          <w:szCs w:val="28"/>
          <w:lang w:eastAsia="es-ES"/>
        </w:rPr>
        <w:t>violencia</w:t>
      </w:r>
      <w:r w:rsidR="00E242CC" w:rsidRPr="00CD542C">
        <w:rPr>
          <w:rFonts w:ascii="Times New Roman" w:hAnsi="Times New Roman"/>
          <w:iCs/>
          <w:sz w:val="28"/>
          <w:szCs w:val="28"/>
          <w:lang w:eastAsia="es-ES"/>
        </w:rPr>
        <w:t xml:space="preserve"> y violencia de género</w:t>
      </w:r>
      <w:r w:rsidR="00221D31" w:rsidRPr="00CD542C">
        <w:rPr>
          <w:rFonts w:ascii="Times New Roman" w:hAnsi="Times New Roman"/>
          <w:iCs/>
          <w:sz w:val="28"/>
          <w:szCs w:val="28"/>
          <w:lang w:eastAsia="es-ES"/>
        </w:rPr>
        <w:t xml:space="preserve"> o amenaza en las diferentes esferas s</w:t>
      </w:r>
      <w:r w:rsidR="00F964CA" w:rsidRPr="00CD542C">
        <w:rPr>
          <w:rFonts w:ascii="Times New Roman" w:hAnsi="Times New Roman"/>
          <w:iCs/>
          <w:sz w:val="28"/>
          <w:szCs w:val="28"/>
          <w:lang w:eastAsia="es-ES"/>
        </w:rPr>
        <w:t xml:space="preserve">ociales en contra de la víctima, </w:t>
      </w:r>
      <w:r w:rsidR="00221D31" w:rsidRPr="00CD542C">
        <w:rPr>
          <w:rFonts w:ascii="Times New Roman" w:hAnsi="Times New Roman"/>
          <w:iCs/>
          <w:sz w:val="28"/>
          <w:szCs w:val="28"/>
          <w:lang w:eastAsia="es-ES"/>
        </w:rPr>
        <w:t>sin una calificación especial</w:t>
      </w:r>
      <w:r w:rsidR="00731C46" w:rsidRPr="00CD542C">
        <w:rPr>
          <w:rFonts w:ascii="Times New Roman" w:hAnsi="Times New Roman"/>
          <w:iCs/>
          <w:sz w:val="28"/>
          <w:szCs w:val="28"/>
          <w:lang w:eastAsia="es-ES"/>
        </w:rPr>
        <w:t xml:space="preserve"> como la denuncia</w:t>
      </w:r>
      <w:r w:rsidR="00F964CA" w:rsidRPr="00CD542C">
        <w:rPr>
          <w:rFonts w:ascii="Times New Roman" w:hAnsi="Times New Roman"/>
          <w:iCs/>
          <w:sz w:val="28"/>
          <w:szCs w:val="28"/>
          <w:lang w:eastAsia="es-ES"/>
        </w:rPr>
        <w:t>,</w:t>
      </w:r>
      <w:r w:rsidR="00221D31" w:rsidRPr="00CD542C">
        <w:rPr>
          <w:rFonts w:ascii="Times New Roman" w:hAnsi="Times New Roman"/>
          <w:iCs/>
          <w:sz w:val="28"/>
          <w:szCs w:val="28"/>
          <w:lang w:eastAsia="es-ES"/>
        </w:rPr>
        <w:t xml:space="preserve"> generan una indeterminación en el ingrediente subjetivo del tipo, pues no constituyen suficiente evidencia para demostrar que la motivación del homicidio es el odio o repulsión al género femenino.</w:t>
      </w:r>
    </w:p>
    <w:p w:rsidR="00221D31" w:rsidRPr="00CD542C" w:rsidRDefault="00221D31" w:rsidP="00CD542C">
      <w:pPr>
        <w:spacing w:after="0" w:line="240" w:lineRule="auto"/>
        <w:jc w:val="both"/>
        <w:rPr>
          <w:rFonts w:ascii="Times New Roman" w:hAnsi="Times New Roman"/>
          <w:iCs/>
          <w:sz w:val="28"/>
          <w:szCs w:val="28"/>
          <w:lang w:eastAsia="es-ES"/>
        </w:rPr>
      </w:pPr>
    </w:p>
    <w:p w:rsidR="00221D31" w:rsidRPr="00CD542C" w:rsidRDefault="00780ABE" w:rsidP="00CD542C">
      <w:pPr>
        <w:spacing w:after="0" w:line="240" w:lineRule="auto"/>
        <w:jc w:val="both"/>
        <w:rPr>
          <w:rFonts w:ascii="Times New Roman" w:hAnsi="Times New Roman"/>
          <w:iCs/>
          <w:sz w:val="28"/>
          <w:szCs w:val="28"/>
          <w:lang w:eastAsia="es-ES"/>
        </w:rPr>
      </w:pPr>
      <w:r w:rsidRPr="00CD542C">
        <w:rPr>
          <w:rFonts w:ascii="Times New Roman" w:hAnsi="Times New Roman"/>
          <w:iCs/>
          <w:sz w:val="28"/>
          <w:szCs w:val="28"/>
          <w:lang w:eastAsia="es-ES"/>
        </w:rPr>
        <w:t>Uno</w:t>
      </w:r>
      <w:r w:rsidR="00221D31" w:rsidRPr="00CD542C">
        <w:rPr>
          <w:rFonts w:ascii="Times New Roman" w:hAnsi="Times New Roman"/>
          <w:iCs/>
          <w:sz w:val="28"/>
          <w:szCs w:val="28"/>
          <w:lang w:eastAsia="es-ES"/>
        </w:rPr>
        <w:t xml:space="preserve"> </w:t>
      </w:r>
      <w:r w:rsidRPr="00CD542C">
        <w:rPr>
          <w:rFonts w:ascii="Times New Roman" w:hAnsi="Times New Roman"/>
          <w:iCs/>
          <w:sz w:val="28"/>
          <w:szCs w:val="28"/>
          <w:lang w:eastAsia="es-ES"/>
        </w:rPr>
        <w:t>de los intervinientes considera</w:t>
      </w:r>
      <w:r w:rsidR="00221D31" w:rsidRPr="00CD542C">
        <w:rPr>
          <w:rFonts w:ascii="Times New Roman" w:hAnsi="Times New Roman"/>
          <w:iCs/>
          <w:sz w:val="28"/>
          <w:szCs w:val="28"/>
          <w:lang w:eastAsia="es-ES"/>
        </w:rPr>
        <w:t xml:space="preserve"> que el inciso debe ser declarado inexequible pues se trata de </w:t>
      </w:r>
      <w:r w:rsidR="00731C46" w:rsidRPr="00CD542C">
        <w:rPr>
          <w:rFonts w:ascii="Times New Roman" w:hAnsi="Times New Roman"/>
          <w:iCs/>
          <w:sz w:val="28"/>
          <w:szCs w:val="28"/>
          <w:lang w:eastAsia="es-ES"/>
        </w:rPr>
        <w:t>un tipo penal abierto que viola</w:t>
      </w:r>
      <w:r w:rsidR="00221D31" w:rsidRPr="00CD542C">
        <w:rPr>
          <w:rFonts w:ascii="Times New Roman" w:hAnsi="Times New Roman"/>
          <w:iCs/>
          <w:sz w:val="28"/>
          <w:szCs w:val="28"/>
          <w:lang w:eastAsia="es-ES"/>
        </w:rPr>
        <w:t xml:space="preserve"> los principios de razonabilidad y proporci</w:t>
      </w:r>
      <w:r w:rsidR="00F964CA" w:rsidRPr="00CD542C">
        <w:rPr>
          <w:rFonts w:ascii="Times New Roman" w:hAnsi="Times New Roman"/>
          <w:iCs/>
          <w:sz w:val="28"/>
          <w:szCs w:val="28"/>
          <w:lang w:eastAsia="es-ES"/>
        </w:rPr>
        <w:t>onalidad,</w:t>
      </w:r>
      <w:r w:rsidR="00221D31" w:rsidRPr="00CD542C">
        <w:rPr>
          <w:rFonts w:ascii="Times New Roman" w:hAnsi="Times New Roman"/>
          <w:iCs/>
          <w:sz w:val="28"/>
          <w:szCs w:val="28"/>
          <w:lang w:eastAsia="es-ES"/>
        </w:rPr>
        <w:t xml:space="preserve"> ya que no es posible determinar con precisión y claridad las circunstancias que configuran un antecedente o un indicio de violencia, y cuya valoración y adecuación típica puede variar de un sujeto a otro. </w:t>
      </w:r>
    </w:p>
    <w:p w:rsidR="00221D31" w:rsidRPr="00CD542C" w:rsidRDefault="00221D31" w:rsidP="00CD542C">
      <w:pPr>
        <w:spacing w:after="0" w:line="240" w:lineRule="auto"/>
        <w:jc w:val="both"/>
        <w:rPr>
          <w:rFonts w:ascii="Times New Roman" w:hAnsi="Times New Roman"/>
          <w:iCs/>
          <w:sz w:val="28"/>
          <w:szCs w:val="28"/>
          <w:lang w:eastAsia="es-ES"/>
        </w:rPr>
      </w:pPr>
    </w:p>
    <w:p w:rsidR="00221D31" w:rsidRPr="00CD542C" w:rsidRDefault="00221D31" w:rsidP="00CD542C">
      <w:pPr>
        <w:spacing w:after="0" w:line="240" w:lineRule="auto"/>
        <w:jc w:val="both"/>
        <w:rPr>
          <w:rFonts w:ascii="Times New Roman" w:hAnsi="Times New Roman"/>
          <w:iCs/>
          <w:sz w:val="28"/>
          <w:szCs w:val="28"/>
          <w:lang w:eastAsia="es-ES"/>
        </w:rPr>
      </w:pPr>
      <w:r w:rsidRPr="00CD542C">
        <w:rPr>
          <w:rFonts w:ascii="Times New Roman" w:hAnsi="Times New Roman"/>
          <w:iCs/>
          <w:sz w:val="28"/>
          <w:szCs w:val="28"/>
          <w:lang w:eastAsia="es-ES"/>
        </w:rPr>
        <w:t>Otro</w:t>
      </w:r>
      <w:r w:rsidR="00780ABE" w:rsidRPr="00CD542C">
        <w:rPr>
          <w:rFonts w:ascii="Times New Roman" w:hAnsi="Times New Roman"/>
          <w:iCs/>
          <w:sz w:val="28"/>
          <w:szCs w:val="28"/>
          <w:lang w:eastAsia="es-ES"/>
        </w:rPr>
        <w:t xml:space="preserve"> de los intervinientes sostiene</w:t>
      </w:r>
      <w:r w:rsidRPr="00CD542C">
        <w:rPr>
          <w:rFonts w:ascii="Times New Roman" w:hAnsi="Times New Roman"/>
          <w:iCs/>
          <w:sz w:val="28"/>
          <w:szCs w:val="28"/>
          <w:lang w:eastAsia="es-ES"/>
        </w:rPr>
        <w:t xml:space="preserve"> que el inciso acusado debe ser declarado exequible, ya que </w:t>
      </w:r>
      <w:r w:rsidRPr="00CD542C">
        <w:rPr>
          <w:rFonts w:ascii="Times New Roman" w:hAnsi="Times New Roman"/>
          <w:sz w:val="28"/>
          <w:szCs w:val="28"/>
          <w:lang w:val="es-CO"/>
        </w:rPr>
        <w:t>un elemento determinante en la investigación penal son los antecedentes de violencia en los ámbitos que fija la norma y son los que permiten a la Fiscalía imputar el delito del feminicidio. Además, sostiene</w:t>
      </w:r>
      <w:r w:rsidR="00E3374F" w:rsidRPr="00CD542C">
        <w:rPr>
          <w:rFonts w:ascii="Times New Roman" w:hAnsi="Times New Roman"/>
          <w:sz w:val="28"/>
          <w:szCs w:val="28"/>
          <w:lang w:val="es-CO"/>
        </w:rPr>
        <w:t xml:space="preserve"> </w:t>
      </w:r>
      <w:r w:rsidRPr="00CD542C">
        <w:rPr>
          <w:rFonts w:ascii="Times New Roman" w:hAnsi="Times New Roman"/>
          <w:sz w:val="28"/>
          <w:szCs w:val="28"/>
          <w:lang w:val="es-CO"/>
        </w:rPr>
        <w:t xml:space="preserve">que los indicios son elementos que la jurisprudencia ha aceptado en contextos de violencia sexual en contra de mujeres como material válido para emitir sentencias condenatorias. </w:t>
      </w:r>
    </w:p>
    <w:p w:rsidR="00221D31" w:rsidRPr="00CD542C" w:rsidRDefault="00221D31" w:rsidP="00CD542C">
      <w:pPr>
        <w:spacing w:after="0" w:line="240" w:lineRule="auto"/>
        <w:jc w:val="both"/>
        <w:rPr>
          <w:rFonts w:ascii="Times New Roman" w:hAnsi="Times New Roman"/>
          <w:sz w:val="28"/>
          <w:szCs w:val="28"/>
          <w:lang w:val="es-CO"/>
        </w:rPr>
      </w:pPr>
    </w:p>
    <w:p w:rsidR="00221D31" w:rsidRPr="00CD542C" w:rsidRDefault="00221D31"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La Procuraduría solicita que se declare la exequibilidad del aparte normativo demandado en el entendido de que el inciso no determina un verbo rector alternativo, sino una descripción del contexto que tiene lugar antes del crimen y permite probar el móvil del mismo. Para la Vista Fiscal, la norma tiene serias deficiencias de redacción, pero se debe admitir el sentido señalado, lo cual no obstaculiza que se garantice el derecho al debido proceso. A su vez, indica que la disposición busca quit</w:t>
      </w:r>
      <w:r w:rsidR="003602AC" w:rsidRPr="00CD542C">
        <w:rPr>
          <w:rFonts w:ascii="Times New Roman" w:hAnsi="Times New Roman"/>
          <w:sz w:val="28"/>
          <w:szCs w:val="28"/>
          <w:lang w:val="es-CO"/>
        </w:rPr>
        <w:t>ar</w:t>
      </w:r>
      <w:r w:rsidRPr="00CD542C">
        <w:rPr>
          <w:rFonts w:ascii="Times New Roman" w:hAnsi="Times New Roman"/>
          <w:sz w:val="28"/>
          <w:szCs w:val="28"/>
          <w:lang w:val="es-CO"/>
        </w:rPr>
        <w:t xml:space="preserve"> una carga a la mujer, quien no siempre puede denunciar los actos de violencia que han sido perpetrados en su contra.</w:t>
      </w:r>
    </w:p>
    <w:p w:rsidR="00221D31" w:rsidRPr="00CD542C" w:rsidRDefault="00221D31" w:rsidP="00CD542C">
      <w:pPr>
        <w:spacing w:after="0" w:line="240" w:lineRule="auto"/>
        <w:jc w:val="both"/>
        <w:rPr>
          <w:rFonts w:ascii="Times New Roman" w:hAnsi="Times New Roman"/>
          <w:sz w:val="28"/>
          <w:szCs w:val="28"/>
        </w:rPr>
      </w:pPr>
    </w:p>
    <w:p w:rsidR="00221D31"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lang w:val="es-CO"/>
        </w:rPr>
        <w:t>4</w:t>
      </w:r>
      <w:r w:rsidR="00775213" w:rsidRPr="00CD542C">
        <w:rPr>
          <w:rFonts w:ascii="Times New Roman" w:hAnsi="Times New Roman"/>
          <w:sz w:val="28"/>
          <w:szCs w:val="28"/>
        </w:rPr>
        <w:t>8</w:t>
      </w:r>
      <w:r w:rsidR="009606BC" w:rsidRPr="00CD542C">
        <w:rPr>
          <w:rFonts w:ascii="Times New Roman" w:hAnsi="Times New Roman"/>
          <w:sz w:val="28"/>
          <w:szCs w:val="28"/>
        </w:rPr>
        <w:t xml:space="preserve">. </w:t>
      </w:r>
      <w:r w:rsidR="00C13AE1" w:rsidRPr="00CD542C">
        <w:rPr>
          <w:rFonts w:ascii="Times New Roman" w:hAnsi="Times New Roman"/>
          <w:sz w:val="28"/>
          <w:szCs w:val="28"/>
        </w:rPr>
        <w:t>En el acápite correspondiente al alcance de la norma se estableció que el inciso acusado corr</w:t>
      </w:r>
      <w:r w:rsidR="009D3124" w:rsidRPr="00CD542C">
        <w:rPr>
          <w:rFonts w:ascii="Times New Roman" w:hAnsi="Times New Roman"/>
          <w:sz w:val="28"/>
          <w:szCs w:val="28"/>
        </w:rPr>
        <w:t xml:space="preserve">esponde a una circunstancia que complementa el tipo para establecer </w:t>
      </w:r>
      <w:r w:rsidR="00C13AE1" w:rsidRPr="00CD542C">
        <w:rPr>
          <w:rFonts w:ascii="Times New Roman" w:hAnsi="Times New Roman"/>
          <w:sz w:val="28"/>
          <w:szCs w:val="28"/>
        </w:rPr>
        <w:t>el e</w:t>
      </w:r>
      <w:r w:rsidR="00587195" w:rsidRPr="00CD542C">
        <w:rPr>
          <w:rFonts w:ascii="Times New Roman" w:hAnsi="Times New Roman"/>
          <w:sz w:val="28"/>
          <w:szCs w:val="28"/>
        </w:rPr>
        <w:t>lemento subjetivo del</w:t>
      </w:r>
      <w:r w:rsidR="00C13AE1" w:rsidRPr="00CD542C">
        <w:rPr>
          <w:rFonts w:ascii="Times New Roman" w:hAnsi="Times New Roman"/>
          <w:sz w:val="28"/>
          <w:szCs w:val="28"/>
        </w:rPr>
        <w:t xml:space="preserve"> feminicidio</w:t>
      </w:r>
      <w:r w:rsidR="00F964CA" w:rsidRPr="00CD542C">
        <w:rPr>
          <w:rFonts w:ascii="Times New Roman" w:hAnsi="Times New Roman"/>
          <w:sz w:val="28"/>
          <w:szCs w:val="28"/>
        </w:rPr>
        <w:t>, sin que éste</w:t>
      </w:r>
      <w:r w:rsidR="009606BC" w:rsidRPr="00CD542C">
        <w:rPr>
          <w:rFonts w:ascii="Times New Roman" w:hAnsi="Times New Roman"/>
          <w:sz w:val="28"/>
          <w:szCs w:val="28"/>
        </w:rPr>
        <w:t xml:space="preserve"> reemplace o excluya el</w:t>
      </w:r>
      <w:r w:rsidR="009D3124" w:rsidRPr="00CD542C">
        <w:rPr>
          <w:rFonts w:ascii="Times New Roman" w:hAnsi="Times New Roman"/>
          <w:sz w:val="28"/>
          <w:szCs w:val="28"/>
        </w:rPr>
        <w:t xml:space="preserve"> análisis de culpabilidad. En otras palabras</w:t>
      </w:r>
      <w:r w:rsidR="00C13AE1" w:rsidRPr="00CD542C">
        <w:rPr>
          <w:rFonts w:ascii="Times New Roman" w:hAnsi="Times New Roman"/>
          <w:sz w:val="28"/>
          <w:szCs w:val="28"/>
        </w:rPr>
        <w:t>, la circunstancia descrit</w:t>
      </w:r>
      <w:r w:rsidR="009D3124" w:rsidRPr="00CD542C">
        <w:rPr>
          <w:rFonts w:ascii="Times New Roman" w:hAnsi="Times New Roman"/>
          <w:sz w:val="28"/>
          <w:szCs w:val="28"/>
        </w:rPr>
        <w:t xml:space="preserve">a en el </w:t>
      </w:r>
      <w:r w:rsidR="00F964CA" w:rsidRPr="00CD542C">
        <w:rPr>
          <w:rFonts w:ascii="Times New Roman" w:hAnsi="Times New Roman"/>
          <w:sz w:val="28"/>
          <w:szCs w:val="28"/>
        </w:rPr>
        <w:t>literal</w:t>
      </w:r>
      <w:r w:rsidR="009D3124" w:rsidRPr="00CD542C">
        <w:rPr>
          <w:rFonts w:ascii="Times New Roman" w:hAnsi="Times New Roman"/>
          <w:sz w:val="28"/>
          <w:szCs w:val="28"/>
        </w:rPr>
        <w:t xml:space="preserve"> e</w:t>
      </w:r>
      <w:r w:rsidR="00F964CA" w:rsidRPr="00CD542C">
        <w:rPr>
          <w:rFonts w:ascii="Times New Roman" w:hAnsi="Times New Roman"/>
          <w:sz w:val="28"/>
          <w:szCs w:val="28"/>
        </w:rPr>
        <w:t>)</w:t>
      </w:r>
      <w:r w:rsidR="009D3124" w:rsidRPr="00CD542C">
        <w:rPr>
          <w:rFonts w:ascii="Times New Roman" w:hAnsi="Times New Roman"/>
          <w:sz w:val="28"/>
          <w:szCs w:val="28"/>
        </w:rPr>
        <w:t xml:space="preserve"> del artículo 2</w:t>
      </w:r>
      <w:r w:rsidR="009606BC" w:rsidRPr="00CD542C">
        <w:rPr>
          <w:rFonts w:ascii="Times New Roman" w:hAnsi="Times New Roman"/>
          <w:sz w:val="28"/>
          <w:szCs w:val="28"/>
        </w:rPr>
        <w:t xml:space="preserve"> de la Ley</w:t>
      </w:r>
      <w:r w:rsidR="00C13AE1" w:rsidRPr="00CD542C">
        <w:rPr>
          <w:rFonts w:ascii="Times New Roman" w:hAnsi="Times New Roman"/>
          <w:sz w:val="28"/>
          <w:szCs w:val="28"/>
        </w:rPr>
        <w:t xml:space="preserve"> </w:t>
      </w:r>
      <w:r w:rsidR="00FE619D" w:rsidRPr="00CD542C">
        <w:rPr>
          <w:rFonts w:ascii="Times New Roman" w:hAnsi="Times New Roman"/>
          <w:sz w:val="28"/>
          <w:szCs w:val="28"/>
        </w:rPr>
        <w:t xml:space="preserve">1761 de 2015 </w:t>
      </w:r>
      <w:r w:rsidR="00C13AE1" w:rsidRPr="00CD542C">
        <w:rPr>
          <w:rFonts w:ascii="Times New Roman" w:hAnsi="Times New Roman"/>
          <w:sz w:val="28"/>
          <w:szCs w:val="28"/>
        </w:rPr>
        <w:t>actúa como un hecho que permite establecer el móvil del delito</w:t>
      </w:r>
      <w:r w:rsidR="00F964CA" w:rsidRPr="00CD542C">
        <w:rPr>
          <w:rFonts w:ascii="Times New Roman" w:hAnsi="Times New Roman"/>
          <w:sz w:val="28"/>
          <w:szCs w:val="28"/>
        </w:rPr>
        <w:t>,</w:t>
      </w:r>
      <w:r w:rsidR="00EE33B2" w:rsidRPr="00CD542C">
        <w:rPr>
          <w:rFonts w:ascii="Times New Roman" w:hAnsi="Times New Roman"/>
          <w:sz w:val="28"/>
          <w:szCs w:val="28"/>
        </w:rPr>
        <w:t xml:space="preserve"> pero no lo supone</w:t>
      </w:r>
      <w:r w:rsidR="009606BC" w:rsidRPr="00CD542C">
        <w:rPr>
          <w:rFonts w:ascii="Times New Roman" w:hAnsi="Times New Roman"/>
          <w:sz w:val="28"/>
          <w:szCs w:val="28"/>
        </w:rPr>
        <w:t xml:space="preserve">. </w:t>
      </w:r>
      <w:r w:rsidR="00B55162" w:rsidRPr="00CD542C">
        <w:rPr>
          <w:rFonts w:ascii="Times New Roman" w:hAnsi="Times New Roman"/>
          <w:sz w:val="28"/>
          <w:szCs w:val="28"/>
        </w:rPr>
        <w:t>Así, la determinación de esta</w:t>
      </w:r>
      <w:r w:rsidR="00FE619D" w:rsidRPr="00CD542C">
        <w:rPr>
          <w:rFonts w:ascii="Times New Roman" w:hAnsi="Times New Roman"/>
          <w:sz w:val="28"/>
          <w:szCs w:val="28"/>
        </w:rPr>
        <w:t>s</w:t>
      </w:r>
      <w:r w:rsidR="00B55162" w:rsidRPr="00CD542C">
        <w:rPr>
          <w:rFonts w:ascii="Times New Roman" w:hAnsi="Times New Roman"/>
          <w:sz w:val="28"/>
          <w:szCs w:val="28"/>
        </w:rPr>
        <w:t xml:space="preserve"> circunstancia</w:t>
      </w:r>
      <w:r w:rsidR="00FE619D" w:rsidRPr="00CD542C">
        <w:rPr>
          <w:rFonts w:ascii="Times New Roman" w:hAnsi="Times New Roman"/>
          <w:sz w:val="28"/>
          <w:szCs w:val="28"/>
        </w:rPr>
        <w:t>s</w:t>
      </w:r>
      <w:r w:rsidR="00B55162" w:rsidRPr="00CD542C">
        <w:rPr>
          <w:rFonts w:ascii="Times New Roman" w:hAnsi="Times New Roman"/>
          <w:sz w:val="28"/>
          <w:szCs w:val="28"/>
        </w:rPr>
        <w:t xml:space="preserve"> particular</w:t>
      </w:r>
      <w:r w:rsidR="00FE619D" w:rsidRPr="00CD542C">
        <w:rPr>
          <w:rFonts w:ascii="Times New Roman" w:hAnsi="Times New Roman"/>
          <w:sz w:val="28"/>
          <w:szCs w:val="28"/>
        </w:rPr>
        <w:t>es</w:t>
      </w:r>
      <w:r w:rsidR="00B55162" w:rsidRPr="00CD542C">
        <w:rPr>
          <w:rFonts w:ascii="Times New Roman" w:hAnsi="Times New Roman"/>
          <w:sz w:val="28"/>
          <w:szCs w:val="28"/>
        </w:rPr>
        <w:t xml:space="preserve"> en el inciso acusado busca</w:t>
      </w:r>
      <w:r w:rsidR="00155828" w:rsidRPr="00CD542C">
        <w:rPr>
          <w:rFonts w:ascii="Times New Roman" w:hAnsi="Times New Roman"/>
          <w:sz w:val="28"/>
          <w:szCs w:val="28"/>
        </w:rPr>
        <w:t>n</w:t>
      </w:r>
      <w:r w:rsidR="00B55162" w:rsidRPr="00CD542C">
        <w:rPr>
          <w:rFonts w:ascii="Times New Roman" w:hAnsi="Times New Roman"/>
          <w:sz w:val="28"/>
          <w:szCs w:val="28"/>
        </w:rPr>
        <w:t xml:space="preserve"> identificar los elementos contextuales</w:t>
      </w:r>
      <w:r w:rsidR="00F2458C" w:rsidRPr="00CD542C">
        <w:rPr>
          <w:rFonts w:ascii="Times New Roman" w:hAnsi="Times New Roman"/>
          <w:sz w:val="28"/>
          <w:szCs w:val="28"/>
        </w:rPr>
        <w:t>, en la forma de indicios, antecedentes o amenazas de violencia,</w:t>
      </w:r>
      <w:r w:rsidR="00B55162" w:rsidRPr="00CD542C">
        <w:rPr>
          <w:rFonts w:ascii="Times New Roman" w:hAnsi="Times New Roman"/>
          <w:sz w:val="28"/>
          <w:szCs w:val="28"/>
        </w:rPr>
        <w:t xml:space="preserve"> que </w:t>
      </w:r>
      <w:r w:rsidR="003602AC" w:rsidRPr="00CD542C">
        <w:rPr>
          <w:rFonts w:ascii="Times New Roman" w:hAnsi="Times New Roman"/>
          <w:sz w:val="28"/>
          <w:szCs w:val="28"/>
        </w:rPr>
        <w:t>puedan demostrar</w:t>
      </w:r>
      <w:r w:rsidR="00B55162" w:rsidRPr="00CD542C">
        <w:rPr>
          <w:rFonts w:ascii="Times New Roman" w:hAnsi="Times New Roman"/>
          <w:sz w:val="28"/>
          <w:szCs w:val="28"/>
        </w:rPr>
        <w:t xml:space="preserve"> los motivos discriminatorios </w:t>
      </w:r>
      <w:r w:rsidR="00EE33B2" w:rsidRPr="00CD542C">
        <w:rPr>
          <w:rFonts w:ascii="Times New Roman" w:hAnsi="Times New Roman"/>
          <w:sz w:val="28"/>
          <w:szCs w:val="28"/>
        </w:rPr>
        <w:t xml:space="preserve">por el hecho de ser mujer o por motivos de </w:t>
      </w:r>
      <w:r w:rsidR="00155828" w:rsidRPr="00CD542C">
        <w:rPr>
          <w:rFonts w:ascii="Times New Roman" w:hAnsi="Times New Roman"/>
          <w:sz w:val="28"/>
          <w:szCs w:val="28"/>
        </w:rPr>
        <w:t xml:space="preserve">identidad de </w:t>
      </w:r>
      <w:r w:rsidR="00EE33B2" w:rsidRPr="00CD542C">
        <w:rPr>
          <w:rFonts w:ascii="Times New Roman" w:hAnsi="Times New Roman"/>
          <w:sz w:val="28"/>
          <w:szCs w:val="28"/>
        </w:rPr>
        <w:t xml:space="preserve">género </w:t>
      </w:r>
      <w:r w:rsidR="00B55162" w:rsidRPr="00CD542C">
        <w:rPr>
          <w:rFonts w:ascii="Times New Roman" w:hAnsi="Times New Roman"/>
          <w:sz w:val="28"/>
          <w:szCs w:val="28"/>
        </w:rPr>
        <w:t>anclados en una situación de desigualdad en la relación entre el sujeto activo y el sujeto pasivo al darle muerte.</w:t>
      </w:r>
    </w:p>
    <w:p w:rsidR="00C13AE1" w:rsidRPr="00CD542C" w:rsidRDefault="00C13AE1" w:rsidP="00CD542C">
      <w:pPr>
        <w:spacing w:after="0" w:line="240" w:lineRule="auto"/>
        <w:rPr>
          <w:rFonts w:ascii="Times New Roman" w:hAnsi="Times New Roman"/>
          <w:sz w:val="28"/>
          <w:szCs w:val="28"/>
        </w:rPr>
      </w:pPr>
    </w:p>
    <w:p w:rsidR="002506D6"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4</w:t>
      </w:r>
      <w:r w:rsidR="00775213" w:rsidRPr="00CD542C">
        <w:rPr>
          <w:rFonts w:ascii="Times New Roman" w:hAnsi="Times New Roman"/>
          <w:sz w:val="28"/>
          <w:szCs w:val="28"/>
        </w:rPr>
        <w:t>9</w:t>
      </w:r>
      <w:r w:rsidR="00834FA2" w:rsidRPr="00CD542C">
        <w:rPr>
          <w:rFonts w:ascii="Times New Roman" w:hAnsi="Times New Roman"/>
          <w:sz w:val="28"/>
          <w:szCs w:val="28"/>
        </w:rPr>
        <w:t xml:space="preserve">. </w:t>
      </w:r>
      <w:r w:rsidR="00317C6D" w:rsidRPr="00CD542C">
        <w:rPr>
          <w:rFonts w:ascii="Times New Roman" w:hAnsi="Times New Roman"/>
          <w:sz w:val="28"/>
          <w:szCs w:val="28"/>
        </w:rPr>
        <w:t>El inciso acusado consta de cuatro</w:t>
      </w:r>
      <w:r w:rsidR="002506D6" w:rsidRPr="00CD542C">
        <w:rPr>
          <w:rFonts w:ascii="Times New Roman" w:hAnsi="Times New Roman"/>
          <w:sz w:val="28"/>
          <w:szCs w:val="28"/>
        </w:rPr>
        <w:t xml:space="preserve"> partes</w:t>
      </w:r>
      <w:r w:rsidR="00780ABE" w:rsidRPr="00CD542C">
        <w:rPr>
          <w:rFonts w:ascii="Times New Roman" w:hAnsi="Times New Roman"/>
          <w:sz w:val="28"/>
          <w:szCs w:val="28"/>
        </w:rPr>
        <w:t xml:space="preserve"> diferenciables</w:t>
      </w:r>
      <w:r w:rsidR="002506D6" w:rsidRPr="00CD542C">
        <w:rPr>
          <w:rFonts w:ascii="Times New Roman" w:hAnsi="Times New Roman"/>
          <w:sz w:val="28"/>
          <w:szCs w:val="28"/>
        </w:rPr>
        <w:t xml:space="preserve">. </w:t>
      </w:r>
      <w:r w:rsidR="00317C6D" w:rsidRPr="00CD542C">
        <w:rPr>
          <w:rFonts w:ascii="Times New Roman" w:hAnsi="Times New Roman"/>
          <w:sz w:val="28"/>
          <w:szCs w:val="28"/>
        </w:rPr>
        <w:t>La p</w:t>
      </w:r>
      <w:r w:rsidR="002506D6" w:rsidRPr="00CD542C">
        <w:rPr>
          <w:rFonts w:ascii="Times New Roman" w:hAnsi="Times New Roman"/>
          <w:sz w:val="28"/>
          <w:szCs w:val="28"/>
        </w:rPr>
        <w:t xml:space="preserve">rimera </w:t>
      </w:r>
      <w:r w:rsidR="00317C6D" w:rsidRPr="00CD542C">
        <w:rPr>
          <w:rFonts w:ascii="Times New Roman" w:hAnsi="Times New Roman"/>
          <w:sz w:val="28"/>
          <w:szCs w:val="28"/>
        </w:rPr>
        <w:t>determina la circunstancia como tal, es decir en este caso</w:t>
      </w:r>
      <w:r w:rsidR="00EE33B2" w:rsidRPr="00CD542C">
        <w:rPr>
          <w:rFonts w:ascii="Times New Roman" w:hAnsi="Times New Roman"/>
          <w:sz w:val="28"/>
          <w:szCs w:val="28"/>
        </w:rPr>
        <w:t>,</w:t>
      </w:r>
      <w:r w:rsidR="00317C6D" w:rsidRPr="00CD542C">
        <w:rPr>
          <w:rFonts w:ascii="Times New Roman" w:hAnsi="Times New Roman"/>
          <w:sz w:val="28"/>
          <w:szCs w:val="28"/>
        </w:rPr>
        <w:t xml:space="preserve"> la existencia de </w:t>
      </w:r>
      <w:r w:rsidR="002C0FF5" w:rsidRPr="00CD542C">
        <w:rPr>
          <w:rFonts w:ascii="Times New Roman" w:hAnsi="Times New Roman"/>
          <w:sz w:val="28"/>
          <w:szCs w:val="28"/>
        </w:rPr>
        <w:t>“</w:t>
      </w:r>
      <w:r w:rsidR="00317C6D" w:rsidRPr="00CD542C">
        <w:rPr>
          <w:rFonts w:ascii="Times New Roman" w:hAnsi="Times New Roman"/>
          <w:i/>
          <w:iCs/>
          <w:sz w:val="28"/>
          <w:szCs w:val="28"/>
        </w:rPr>
        <w:t xml:space="preserve">antecedentes o indicios </w:t>
      </w:r>
      <w:r w:rsidR="00780ABE" w:rsidRPr="00CD542C">
        <w:rPr>
          <w:rFonts w:ascii="Times New Roman" w:hAnsi="Times New Roman"/>
          <w:i/>
          <w:iCs/>
          <w:sz w:val="28"/>
          <w:szCs w:val="28"/>
        </w:rPr>
        <w:t xml:space="preserve">(…) </w:t>
      </w:r>
      <w:r w:rsidR="00317C6D" w:rsidRPr="00CD542C">
        <w:rPr>
          <w:rFonts w:ascii="Times New Roman" w:hAnsi="Times New Roman"/>
          <w:i/>
          <w:iCs/>
          <w:sz w:val="28"/>
          <w:szCs w:val="28"/>
        </w:rPr>
        <w:t>o amenaza</w:t>
      </w:r>
      <w:r w:rsidR="00317C6D" w:rsidRPr="00CD542C">
        <w:rPr>
          <w:rFonts w:ascii="Times New Roman" w:hAnsi="Times New Roman"/>
          <w:sz w:val="28"/>
          <w:szCs w:val="28"/>
        </w:rPr>
        <w:t>”. La segunda y la tercera</w:t>
      </w:r>
      <w:r w:rsidR="00EE33B2" w:rsidRPr="00CD542C">
        <w:rPr>
          <w:rFonts w:ascii="Times New Roman" w:hAnsi="Times New Roman"/>
          <w:sz w:val="28"/>
          <w:szCs w:val="28"/>
        </w:rPr>
        <w:t xml:space="preserve"> parte</w:t>
      </w:r>
      <w:r w:rsidR="00317C6D" w:rsidRPr="00CD542C">
        <w:rPr>
          <w:rFonts w:ascii="Times New Roman" w:hAnsi="Times New Roman"/>
          <w:sz w:val="28"/>
          <w:szCs w:val="28"/>
        </w:rPr>
        <w:t xml:space="preserve"> describen esas </w:t>
      </w:r>
      <w:r w:rsidR="002C0FF5" w:rsidRPr="00CD542C">
        <w:rPr>
          <w:rFonts w:ascii="Times New Roman" w:hAnsi="Times New Roman"/>
          <w:sz w:val="28"/>
          <w:szCs w:val="28"/>
        </w:rPr>
        <w:t>circunstancia</w:t>
      </w:r>
      <w:r w:rsidR="00834FA2" w:rsidRPr="00CD542C">
        <w:rPr>
          <w:rFonts w:ascii="Times New Roman" w:hAnsi="Times New Roman"/>
          <w:sz w:val="28"/>
          <w:szCs w:val="28"/>
        </w:rPr>
        <w:t>s</w:t>
      </w:r>
      <w:r w:rsidR="002C0FF5" w:rsidRPr="00CD542C">
        <w:rPr>
          <w:rFonts w:ascii="Times New Roman" w:hAnsi="Times New Roman"/>
          <w:sz w:val="28"/>
          <w:szCs w:val="28"/>
        </w:rPr>
        <w:t>,</w:t>
      </w:r>
      <w:r w:rsidR="00155828" w:rsidRPr="00CD542C">
        <w:rPr>
          <w:rFonts w:ascii="Times New Roman" w:hAnsi="Times New Roman"/>
          <w:sz w:val="28"/>
          <w:szCs w:val="28"/>
        </w:rPr>
        <w:t xml:space="preserve"> una </w:t>
      </w:r>
      <w:r w:rsidR="002C0FF5" w:rsidRPr="00CD542C">
        <w:rPr>
          <w:rFonts w:ascii="Times New Roman" w:hAnsi="Times New Roman"/>
          <w:sz w:val="28"/>
          <w:szCs w:val="28"/>
        </w:rPr>
        <w:t xml:space="preserve">como cualquier tipo de violencia </w:t>
      </w:r>
      <w:r w:rsidR="00317C6D" w:rsidRPr="00CD542C">
        <w:rPr>
          <w:rFonts w:ascii="Times New Roman" w:hAnsi="Times New Roman"/>
          <w:sz w:val="28"/>
          <w:szCs w:val="28"/>
        </w:rPr>
        <w:t xml:space="preserve">en el </w:t>
      </w:r>
      <w:r w:rsidR="00317C6D" w:rsidRPr="00CD542C">
        <w:rPr>
          <w:rFonts w:ascii="Times New Roman" w:hAnsi="Times New Roman"/>
          <w:sz w:val="28"/>
          <w:szCs w:val="28"/>
        </w:rPr>
        <w:lastRenderedPageBreak/>
        <w:t>“</w:t>
      </w:r>
      <w:r w:rsidR="00317C6D" w:rsidRPr="00CD542C">
        <w:rPr>
          <w:rFonts w:ascii="Times New Roman" w:hAnsi="Times New Roman"/>
          <w:i/>
          <w:iCs/>
          <w:sz w:val="28"/>
          <w:szCs w:val="28"/>
        </w:rPr>
        <w:t>ámbito doméstico, familiar, laboral o escolar</w:t>
      </w:r>
      <w:r w:rsidR="00317C6D" w:rsidRPr="00CD542C">
        <w:rPr>
          <w:rFonts w:ascii="Times New Roman" w:hAnsi="Times New Roman"/>
          <w:sz w:val="28"/>
          <w:szCs w:val="28"/>
        </w:rPr>
        <w:t>”</w:t>
      </w:r>
      <w:r w:rsidR="002C0FF5" w:rsidRPr="00CD542C">
        <w:rPr>
          <w:rFonts w:ascii="Times New Roman" w:hAnsi="Times New Roman"/>
          <w:sz w:val="28"/>
          <w:szCs w:val="28"/>
        </w:rPr>
        <w:t xml:space="preserve"> y</w:t>
      </w:r>
      <w:r w:rsidR="00EE33B2" w:rsidRPr="00CD542C">
        <w:rPr>
          <w:rFonts w:ascii="Times New Roman" w:hAnsi="Times New Roman"/>
          <w:sz w:val="28"/>
          <w:szCs w:val="28"/>
        </w:rPr>
        <w:t xml:space="preserve"> la otra</w:t>
      </w:r>
      <w:r w:rsidR="00317C6D" w:rsidRPr="00CD542C">
        <w:rPr>
          <w:rFonts w:ascii="Times New Roman" w:hAnsi="Times New Roman"/>
          <w:sz w:val="28"/>
          <w:szCs w:val="28"/>
        </w:rPr>
        <w:t xml:space="preserve"> como “</w:t>
      </w:r>
      <w:r w:rsidR="00317C6D" w:rsidRPr="00CD542C">
        <w:rPr>
          <w:rFonts w:ascii="Times New Roman" w:hAnsi="Times New Roman"/>
          <w:i/>
          <w:iCs/>
          <w:sz w:val="28"/>
          <w:szCs w:val="28"/>
        </w:rPr>
        <w:t>violencia de género</w:t>
      </w:r>
      <w:r w:rsidR="00317C6D" w:rsidRPr="00CD542C">
        <w:rPr>
          <w:rFonts w:ascii="Times New Roman" w:hAnsi="Times New Roman"/>
          <w:sz w:val="28"/>
          <w:szCs w:val="28"/>
        </w:rPr>
        <w:t>”. El cuarto elemento</w:t>
      </w:r>
      <w:r w:rsidR="00155828" w:rsidRPr="00CD542C">
        <w:rPr>
          <w:rFonts w:ascii="Times New Roman" w:hAnsi="Times New Roman"/>
          <w:sz w:val="28"/>
          <w:szCs w:val="28"/>
        </w:rPr>
        <w:t>,</w:t>
      </w:r>
      <w:r w:rsidR="00EE33B2" w:rsidRPr="00CD542C">
        <w:rPr>
          <w:rFonts w:ascii="Times New Roman" w:hAnsi="Times New Roman"/>
          <w:sz w:val="28"/>
          <w:szCs w:val="28"/>
        </w:rPr>
        <w:t xml:space="preserve"> como el primero</w:t>
      </w:r>
      <w:r w:rsidR="00155828" w:rsidRPr="00CD542C">
        <w:rPr>
          <w:rFonts w:ascii="Times New Roman" w:hAnsi="Times New Roman"/>
          <w:sz w:val="28"/>
          <w:szCs w:val="28"/>
        </w:rPr>
        <w:t>,</w:t>
      </w:r>
      <w:r w:rsidR="00317C6D" w:rsidRPr="00CD542C">
        <w:rPr>
          <w:rFonts w:ascii="Times New Roman" w:hAnsi="Times New Roman"/>
          <w:sz w:val="28"/>
          <w:szCs w:val="28"/>
        </w:rPr>
        <w:t xml:space="preserve"> es aplicable </w:t>
      </w:r>
      <w:r w:rsidR="00780ABE" w:rsidRPr="00CD542C">
        <w:rPr>
          <w:rFonts w:ascii="Times New Roman" w:hAnsi="Times New Roman"/>
          <w:sz w:val="28"/>
          <w:szCs w:val="28"/>
        </w:rPr>
        <w:t xml:space="preserve">a las dos modalidades </w:t>
      </w:r>
      <w:r w:rsidR="00317C6D" w:rsidRPr="00CD542C">
        <w:rPr>
          <w:rFonts w:ascii="Times New Roman" w:hAnsi="Times New Roman"/>
          <w:sz w:val="28"/>
          <w:szCs w:val="28"/>
        </w:rPr>
        <w:t>al establecer que</w:t>
      </w:r>
      <w:r w:rsidR="00780ABE" w:rsidRPr="00CD542C">
        <w:rPr>
          <w:rFonts w:ascii="Times New Roman" w:hAnsi="Times New Roman"/>
          <w:sz w:val="28"/>
          <w:szCs w:val="28"/>
        </w:rPr>
        <w:t>: i)</w:t>
      </w:r>
      <w:r w:rsidR="00317C6D" w:rsidRPr="00CD542C">
        <w:rPr>
          <w:rFonts w:ascii="Times New Roman" w:hAnsi="Times New Roman"/>
          <w:sz w:val="28"/>
          <w:szCs w:val="28"/>
        </w:rPr>
        <w:t xml:space="preserve"> los hechos descrit</w:t>
      </w:r>
      <w:r w:rsidR="00780ABE" w:rsidRPr="00CD542C">
        <w:rPr>
          <w:rFonts w:ascii="Times New Roman" w:hAnsi="Times New Roman"/>
          <w:sz w:val="28"/>
          <w:szCs w:val="28"/>
        </w:rPr>
        <w:t>os no requieren de una denuncia; y ii)</w:t>
      </w:r>
      <w:r w:rsidR="00317C6D" w:rsidRPr="00CD542C">
        <w:rPr>
          <w:rFonts w:ascii="Times New Roman" w:hAnsi="Times New Roman"/>
          <w:sz w:val="28"/>
          <w:szCs w:val="28"/>
        </w:rPr>
        <w:t xml:space="preserve"> </w:t>
      </w:r>
      <w:r w:rsidR="00780ABE" w:rsidRPr="00CD542C">
        <w:rPr>
          <w:rFonts w:ascii="Times New Roman" w:hAnsi="Times New Roman"/>
          <w:sz w:val="28"/>
          <w:szCs w:val="28"/>
        </w:rPr>
        <w:t xml:space="preserve">los antecedentes, indicios o amenazas siempre se verifican como hechos perpetrados por el sujeto activo en contra del sujeto pasivo. </w:t>
      </w:r>
      <w:r w:rsidR="00317C6D" w:rsidRPr="00CD542C">
        <w:rPr>
          <w:rFonts w:ascii="Times New Roman" w:hAnsi="Times New Roman"/>
          <w:sz w:val="28"/>
          <w:szCs w:val="28"/>
        </w:rPr>
        <w:t xml:space="preserve"> </w:t>
      </w:r>
    </w:p>
    <w:p w:rsidR="00317C6D" w:rsidRPr="00CD542C" w:rsidRDefault="00317C6D" w:rsidP="00CD542C">
      <w:pPr>
        <w:spacing w:after="0" w:line="240" w:lineRule="auto"/>
        <w:jc w:val="both"/>
        <w:rPr>
          <w:rFonts w:ascii="Times New Roman" w:hAnsi="Times New Roman"/>
          <w:sz w:val="28"/>
          <w:szCs w:val="28"/>
        </w:rPr>
      </w:pPr>
    </w:p>
    <w:p w:rsidR="001A21DF" w:rsidRPr="00CD542C" w:rsidRDefault="00152CB7" w:rsidP="00CD542C">
      <w:pPr>
        <w:spacing w:after="0" w:line="240" w:lineRule="auto"/>
        <w:jc w:val="both"/>
        <w:rPr>
          <w:rFonts w:ascii="Times New Roman" w:hAnsi="Times New Roman"/>
          <w:sz w:val="28"/>
          <w:szCs w:val="28"/>
        </w:rPr>
      </w:pPr>
      <w:r w:rsidRPr="00CD542C">
        <w:rPr>
          <w:rFonts w:ascii="Times New Roman" w:hAnsi="Times New Roman"/>
          <w:sz w:val="28"/>
          <w:szCs w:val="28"/>
        </w:rPr>
        <w:t>Específicamente, para el demandante, la violación al principio de legalidad</w:t>
      </w:r>
      <w:r w:rsidR="00B8345E" w:rsidRPr="00CD542C">
        <w:rPr>
          <w:rFonts w:ascii="Times New Roman" w:hAnsi="Times New Roman"/>
          <w:sz w:val="28"/>
          <w:szCs w:val="28"/>
        </w:rPr>
        <w:t xml:space="preserve"> subyace en la falta de calificación de los antecedentes o indicios de violencia</w:t>
      </w:r>
      <w:r w:rsidR="00695660" w:rsidRPr="00CD542C">
        <w:rPr>
          <w:rFonts w:ascii="Times New Roman" w:hAnsi="Times New Roman"/>
          <w:sz w:val="28"/>
          <w:szCs w:val="28"/>
        </w:rPr>
        <w:t xml:space="preserve">, como la denuncia, </w:t>
      </w:r>
      <w:r w:rsidR="00B8345E" w:rsidRPr="00CD542C">
        <w:rPr>
          <w:rFonts w:ascii="Times New Roman" w:hAnsi="Times New Roman"/>
          <w:sz w:val="28"/>
          <w:szCs w:val="28"/>
        </w:rPr>
        <w:t xml:space="preserve">ya que considera que </w:t>
      </w:r>
      <w:r w:rsidR="00695660" w:rsidRPr="00CD542C">
        <w:rPr>
          <w:rFonts w:ascii="Times New Roman" w:hAnsi="Times New Roman"/>
          <w:sz w:val="28"/>
          <w:szCs w:val="28"/>
        </w:rPr>
        <w:t>son indeterminados</w:t>
      </w:r>
      <w:r w:rsidR="00317C6D" w:rsidRPr="00CD542C">
        <w:rPr>
          <w:rFonts w:ascii="Times New Roman" w:hAnsi="Times New Roman"/>
          <w:sz w:val="28"/>
          <w:szCs w:val="28"/>
        </w:rPr>
        <w:t xml:space="preserve"> y no permite</w:t>
      </w:r>
      <w:r w:rsidR="00695660" w:rsidRPr="00CD542C">
        <w:rPr>
          <w:rFonts w:ascii="Times New Roman" w:hAnsi="Times New Roman"/>
          <w:sz w:val="28"/>
          <w:szCs w:val="28"/>
        </w:rPr>
        <w:t>n</w:t>
      </w:r>
      <w:r w:rsidR="00317C6D" w:rsidRPr="00CD542C">
        <w:rPr>
          <w:rFonts w:ascii="Times New Roman" w:hAnsi="Times New Roman"/>
          <w:sz w:val="28"/>
          <w:szCs w:val="28"/>
        </w:rPr>
        <w:t xml:space="preserve"> establecer </w:t>
      </w:r>
      <w:r w:rsidR="002C0FF5" w:rsidRPr="00CD542C">
        <w:rPr>
          <w:rFonts w:ascii="Times New Roman" w:hAnsi="Times New Roman"/>
          <w:sz w:val="28"/>
          <w:szCs w:val="28"/>
        </w:rPr>
        <w:t>con certeza cómo se configura</w:t>
      </w:r>
      <w:r w:rsidR="000923D4" w:rsidRPr="00CD542C">
        <w:rPr>
          <w:rFonts w:ascii="Times New Roman" w:hAnsi="Times New Roman"/>
          <w:sz w:val="28"/>
          <w:szCs w:val="28"/>
        </w:rPr>
        <w:t xml:space="preserve"> el elemento subjetivo del tipo, lo que genera un tipo penal abierto. </w:t>
      </w:r>
      <w:r w:rsidR="001A21DF" w:rsidRPr="00CD542C">
        <w:rPr>
          <w:rFonts w:ascii="Times New Roman" w:hAnsi="Times New Roman"/>
          <w:sz w:val="28"/>
          <w:szCs w:val="28"/>
        </w:rPr>
        <w:t xml:space="preserve"> </w:t>
      </w:r>
      <w:r w:rsidR="004008CA" w:rsidRPr="00CD542C">
        <w:rPr>
          <w:rFonts w:ascii="Times New Roman" w:hAnsi="Times New Roman"/>
          <w:sz w:val="28"/>
          <w:szCs w:val="28"/>
        </w:rPr>
        <w:t>Es decir, la ambigüedad que se acusa recae en que</w:t>
      </w:r>
      <w:r w:rsidR="00EE33B2" w:rsidRPr="00CD542C">
        <w:rPr>
          <w:rFonts w:ascii="Times New Roman" w:hAnsi="Times New Roman"/>
          <w:sz w:val="28"/>
          <w:szCs w:val="28"/>
        </w:rPr>
        <w:t xml:space="preserve"> en su concepto</w:t>
      </w:r>
      <w:r w:rsidR="004008CA" w:rsidRPr="00CD542C">
        <w:rPr>
          <w:rFonts w:ascii="Times New Roman" w:hAnsi="Times New Roman"/>
          <w:sz w:val="28"/>
          <w:szCs w:val="28"/>
        </w:rPr>
        <w:t xml:space="preserve"> n</w:t>
      </w:r>
      <w:r w:rsidR="00155828" w:rsidRPr="00CD542C">
        <w:rPr>
          <w:rFonts w:ascii="Times New Roman" w:hAnsi="Times New Roman"/>
          <w:sz w:val="28"/>
          <w:szCs w:val="28"/>
        </w:rPr>
        <w:t>o se puede saber con certeza cuá</w:t>
      </w:r>
      <w:r w:rsidR="004008CA" w:rsidRPr="00CD542C">
        <w:rPr>
          <w:rFonts w:ascii="Times New Roman" w:hAnsi="Times New Roman"/>
          <w:sz w:val="28"/>
          <w:szCs w:val="28"/>
        </w:rPr>
        <w:t>les son los criterios objetivos para determinar las circunstancias que configuran un antecedente o un indicio de violencia</w:t>
      </w:r>
      <w:r w:rsidR="00AC22E0" w:rsidRPr="00CD542C">
        <w:rPr>
          <w:rFonts w:ascii="Times New Roman" w:hAnsi="Times New Roman"/>
          <w:sz w:val="28"/>
          <w:szCs w:val="28"/>
        </w:rPr>
        <w:t xml:space="preserve"> que lleve necesariamente a establecer la existencia de la intención de matar por el género</w:t>
      </w:r>
      <w:r w:rsidR="004008CA" w:rsidRPr="00CD542C">
        <w:rPr>
          <w:rFonts w:ascii="Times New Roman" w:hAnsi="Times New Roman"/>
          <w:sz w:val="28"/>
          <w:szCs w:val="28"/>
        </w:rPr>
        <w:t>.</w:t>
      </w:r>
    </w:p>
    <w:p w:rsidR="001A21DF" w:rsidRPr="00CD542C" w:rsidRDefault="001A21DF" w:rsidP="00CD542C">
      <w:pPr>
        <w:spacing w:after="0" w:line="240" w:lineRule="auto"/>
        <w:jc w:val="both"/>
        <w:rPr>
          <w:rFonts w:ascii="Times New Roman" w:hAnsi="Times New Roman"/>
          <w:sz w:val="28"/>
          <w:szCs w:val="28"/>
        </w:rPr>
      </w:pPr>
    </w:p>
    <w:p w:rsidR="00633733"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5</w:t>
      </w:r>
      <w:r w:rsidR="00A273D0" w:rsidRPr="00CD542C">
        <w:rPr>
          <w:rFonts w:ascii="Times New Roman" w:hAnsi="Times New Roman"/>
          <w:sz w:val="28"/>
          <w:szCs w:val="28"/>
        </w:rPr>
        <w:t>0</w:t>
      </w:r>
      <w:r w:rsidR="008A0F8E" w:rsidRPr="00CD542C">
        <w:rPr>
          <w:rFonts w:ascii="Times New Roman" w:hAnsi="Times New Roman"/>
          <w:sz w:val="28"/>
          <w:szCs w:val="28"/>
        </w:rPr>
        <w:t xml:space="preserve">. </w:t>
      </w:r>
      <w:r w:rsidR="001A21DF" w:rsidRPr="00CD542C">
        <w:rPr>
          <w:rFonts w:ascii="Times New Roman" w:hAnsi="Times New Roman"/>
          <w:sz w:val="28"/>
          <w:szCs w:val="28"/>
        </w:rPr>
        <w:t>Como se advirtió</w:t>
      </w:r>
      <w:r w:rsidR="00773C3E" w:rsidRPr="00CD542C">
        <w:rPr>
          <w:rFonts w:ascii="Times New Roman" w:hAnsi="Times New Roman"/>
          <w:sz w:val="28"/>
          <w:szCs w:val="28"/>
        </w:rPr>
        <w:t>, el principio de</w:t>
      </w:r>
      <w:r w:rsidR="00D175D3" w:rsidRPr="00CD542C">
        <w:rPr>
          <w:rFonts w:ascii="Times New Roman" w:hAnsi="Times New Roman"/>
          <w:sz w:val="28"/>
          <w:szCs w:val="28"/>
        </w:rPr>
        <w:t xml:space="preserve"> legalidad </w:t>
      </w:r>
      <w:r w:rsidR="00DF57BB" w:rsidRPr="00CD542C">
        <w:rPr>
          <w:rFonts w:ascii="Times New Roman" w:hAnsi="Times New Roman"/>
          <w:sz w:val="28"/>
          <w:szCs w:val="28"/>
        </w:rPr>
        <w:t xml:space="preserve">en sentido estricto, es decir, el principio de tipicidad o taxatividad, </w:t>
      </w:r>
      <w:r w:rsidR="00D175D3" w:rsidRPr="00CD542C">
        <w:rPr>
          <w:rFonts w:ascii="Times New Roman" w:hAnsi="Times New Roman"/>
          <w:sz w:val="28"/>
          <w:szCs w:val="28"/>
        </w:rPr>
        <w:t>requiere que las conductas y las sanciones que configuran el tipo penal sean determinada</w:t>
      </w:r>
      <w:r w:rsidR="00773C3E" w:rsidRPr="00CD542C">
        <w:rPr>
          <w:rFonts w:ascii="Times New Roman" w:hAnsi="Times New Roman"/>
          <w:sz w:val="28"/>
          <w:szCs w:val="28"/>
        </w:rPr>
        <w:t>s de forma precisa</w:t>
      </w:r>
      <w:r w:rsidR="0041310D" w:rsidRPr="00CD542C">
        <w:rPr>
          <w:rFonts w:ascii="Times New Roman" w:hAnsi="Times New Roman"/>
          <w:sz w:val="28"/>
          <w:szCs w:val="28"/>
        </w:rPr>
        <w:t xml:space="preserve"> e inequívoca</w:t>
      </w:r>
      <w:r w:rsidR="00773C3E" w:rsidRPr="00CD542C">
        <w:rPr>
          <w:rFonts w:ascii="Times New Roman" w:hAnsi="Times New Roman"/>
          <w:sz w:val="28"/>
          <w:szCs w:val="28"/>
        </w:rPr>
        <w:t>.</w:t>
      </w:r>
      <w:r w:rsidR="0041310D" w:rsidRPr="00CD542C">
        <w:rPr>
          <w:rFonts w:ascii="Times New Roman" w:hAnsi="Times New Roman"/>
          <w:sz w:val="28"/>
          <w:szCs w:val="28"/>
        </w:rPr>
        <w:t xml:space="preserve"> No obstante, </w:t>
      </w:r>
      <w:r w:rsidR="00D175D3" w:rsidRPr="00CD542C">
        <w:rPr>
          <w:rFonts w:ascii="Times New Roman" w:hAnsi="Times New Roman"/>
          <w:sz w:val="28"/>
          <w:szCs w:val="28"/>
        </w:rPr>
        <w:t xml:space="preserve">la jurisprudencia </w:t>
      </w:r>
      <w:r w:rsidR="0041310D" w:rsidRPr="00CD542C">
        <w:rPr>
          <w:rFonts w:ascii="Times New Roman" w:hAnsi="Times New Roman"/>
          <w:sz w:val="28"/>
          <w:szCs w:val="28"/>
        </w:rPr>
        <w:t>ha admitido cierto</w:t>
      </w:r>
      <w:r w:rsidR="001A21DF" w:rsidRPr="00CD542C">
        <w:rPr>
          <w:rFonts w:ascii="Times New Roman" w:hAnsi="Times New Roman"/>
          <w:sz w:val="28"/>
          <w:szCs w:val="28"/>
        </w:rPr>
        <w:t xml:space="preserve"> </w:t>
      </w:r>
      <w:r w:rsidR="004008CA" w:rsidRPr="00CD542C">
        <w:rPr>
          <w:rFonts w:ascii="Times New Roman" w:hAnsi="Times New Roman"/>
          <w:sz w:val="28"/>
          <w:szCs w:val="28"/>
        </w:rPr>
        <w:t>grado de indeterminación en los preceptos que</w:t>
      </w:r>
      <w:r w:rsidR="00155828" w:rsidRPr="00CD542C">
        <w:rPr>
          <w:rFonts w:ascii="Times New Roman" w:hAnsi="Times New Roman"/>
          <w:sz w:val="28"/>
          <w:szCs w:val="28"/>
        </w:rPr>
        <w:t xml:space="preserve"> configuran el delito</w:t>
      </w:r>
      <w:r w:rsidR="00F2458C" w:rsidRPr="00CD542C">
        <w:rPr>
          <w:rFonts w:ascii="Times New Roman" w:hAnsi="Times New Roman"/>
          <w:sz w:val="28"/>
          <w:szCs w:val="28"/>
        </w:rPr>
        <w:t xml:space="preserve"> cuando la naturaleza del mismo</w:t>
      </w:r>
      <w:r w:rsidR="004008CA" w:rsidRPr="00CD542C">
        <w:rPr>
          <w:rFonts w:ascii="Times New Roman" w:hAnsi="Times New Roman"/>
          <w:sz w:val="28"/>
          <w:szCs w:val="28"/>
        </w:rPr>
        <w:t xml:space="preserve"> no permita agotar de forma exhaustiva la descripción</w:t>
      </w:r>
      <w:r w:rsidR="00152CB7" w:rsidRPr="00CD542C">
        <w:rPr>
          <w:rFonts w:ascii="Times New Roman" w:hAnsi="Times New Roman"/>
          <w:sz w:val="28"/>
          <w:szCs w:val="28"/>
        </w:rPr>
        <w:t xml:space="preserve"> de la conducta</w:t>
      </w:r>
      <w:r w:rsidR="008A0F8E" w:rsidRPr="00CD542C">
        <w:rPr>
          <w:rFonts w:ascii="Times New Roman" w:hAnsi="Times New Roman"/>
          <w:sz w:val="28"/>
          <w:szCs w:val="28"/>
        </w:rPr>
        <w:t xml:space="preserve"> pero se encuentran los elementos básicos pa</w:t>
      </w:r>
      <w:r w:rsidR="00EE33B2" w:rsidRPr="00CD542C">
        <w:rPr>
          <w:rFonts w:ascii="Times New Roman" w:hAnsi="Times New Roman"/>
          <w:sz w:val="28"/>
          <w:szCs w:val="28"/>
        </w:rPr>
        <w:t xml:space="preserve">ra delimitar la prohibición, o </w:t>
      </w:r>
      <w:r w:rsidR="008A0F8E" w:rsidRPr="00CD542C">
        <w:rPr>
          <w:rFonts w:ascii="Times New Roman" w:hAnsi="Times New Roman"/>
          <w:sz w:val="28"/>
          <w:szCs w:val="28"/>
        </w:rPr>
        <w:t>e</w:t>
      </w:r>
      <w:r w:rsidR="00EE33B2" w:rsidRPr="00CD542C">
        <w:rPr>
          <w:rFonts w:ascii="Times New Roman" w:hAnsi="Times New Roman"/>
          <w:sz w:val="28"/>
          <w:szCs w:val="28"/>
        </w:rPr>
        <w:t>s</w:t>
      </w:r>
      <w:r w:rsidR="008A0F8E" w:rsidRPr="00CD542C">
        <w:rPr>
          <w:rFonts w:ascii="Times New Roman" w:hAnsi="Times New Roman"/>
          <w:sz w:val="28"/>
          <w:szCs w:val="28"/>
        </w:rPr>
        <w:t xml:space="preserve"> determinable mediante la remisión a otras normas. </w:t>
      </w:r>
    </w:p>
    <w:p w:rsidR="00633733" w:rsidRPr="00CD542C" w:rsidRDefault="00633733" w:rsidP="00CD542C">
      <w:pPr>
        <w:spacing w:after="0" w:line="240" w:lineRule="auto"/>
        <w:jc w:val="both"/>
        <w:rPr>
          <w:rFonts w:ascii="Times New Roman" w:hAnsi="Times New Roman"/>
          <w:sz w:val="28"/>
          <w:szCs w:val="28"/>
        </w:rPr>
      </w:pPr>
    </w:p>
    <w:p w:rsidR="008A0F8E" w:rsidRPr="00CD542C" w:rsidRDefault="008A0F8E" w:rsidP="00CD542C">
      <w:pPr>
        <w:spacing w:after="0" w:line="240" w:lineRule="auto"/>
        <w:jc w:val="both"/>
        <w:rPr>
          <w:rFonts w:ascii="Times New Roman" w:hAnsi="Times New Roman"/>
          <w:sz w:val="28"/>
          <w:szCs w:val="28"/>
        </w:rPr>
      </w:pPr>
      <w:r w:rsidRPr="00CD542C">
        <w:rPr>
          <w:rFonts w:ascii="Times New Roman" w:hAnsi="Times New Roman"/>
          <w:sz w:val="28"/>
          <w:szCs w:val="28"/>
        </w:rPr>
        <w:t>A su vez, dicha indeterminación no puede ser de tal grado que no sea posible comprender cuál es el comportamiento sancionado</w:t>
      </w:r>
      <w:r w:rsidR="00DF57BB" w:rsidRPr="00CD542C">
        <w:rPr>
          <w:rFonts w:ascii="Times New Roman" w:hAnsi="Times New Roman"/>
          <w:sz w:val="28"/>
          <w:szCs w:val="28"/>
        </w:rPr>
        <w:t>,</w:t>
      </w:r>
      <w:r w:rsidR="002C0FF5" w:rsidRPr="00CD542C">
        <w:rPr>
          <w:rFonts w:ascii="Times New Roman" w:hAnsi="Times New Roman"/>
          <w:sz w:val="28"/>
          <w:szCs w:val="28"/>
        </w:rPr>
        <w:t xml:space="preserve"> </w:t>
      </w:r>
      <w:r w:rsidRPr="00CD542C">
        <w:rPr>
          <w:rFonts w:ascii="Times New Roman" w:hAnsi="Times New Roman"/>
          <w:sz w:val="28"/>
          <w:szCs w:val="28"/>
        </w:rPr>
        <w:t>lo cual se verifica cuando mediante un ejercicio de ac</w:t>
      </w:r>
      <w:r w:rsidR="00155828" w:rsidRPr="00CD542C">
        <w:rPr>
          <w:rFonts w:ascii="Times New Roman" w:hAnsi="Times New Roman"/>
          <w:sz w:val="28"/>
          <w:szCs w:val="28"/>
        </w:rPr>
        <w:t>tividad interpretativa ordinaria</w:t>
      </w:r>
      <w:r w:rsidRPr="00CD542C">
        <w:rPr>
          <w:rFonts w:ascii="Times New Roman" w:hAnsi="Times New Roman"/>
          <w:sz w:val="28"/>
          <w:szCs w:val="28"/>
        </w:rPr>
        <w:t xml:space="preserve"> se puede precisar el alcance de la prohibición o cuando existe un referente especializado que precisa los parámetros</w:t>
      </w:r>
      <w:r w:rsidR="00EE33B2" w:rsidRPr="00CD542C">
        <w:rPr>
          <w:rFonts w:ascii="Times New Roman" w:hAnsi="Times New Roman"/>
          <w:sz w:val="28"/>
          <w:szCs w:val="28"/>
        </w:rPr>
        <w:t xml:space="preserve"> específicos de su</w:t>
      </w:r>
      <w:r w:rsidRPr="00CD542C">
        <w:rPr>
          <w:rFonts w:ascii="Times New Roman" w:hAnsi="Times New Roman"/>
          <w:sz w:val="28"/>
          <w:szCs w:val="28"/>
        </w:rPr>
        <w:t xml:space="preserve"> conteni</w:t>
      </w:r>
      <w:r w:rsidR="005B4343" w:rsidRPr="00CD542C">
        <w:rPr>
          <w:rFonts w:ascii="Times New Roman" w:hAnsi="Times New Roman"/>
          <w:sz w:val="28"/>
          <w:szCs w:val="28"/>
        </w:rPr>
        <w:t>do y alcance.</w:t>
      </w:r>
    </w:p>
    <w:p w:rsidR="008A0F8E" w:rsidRPr="00CD542C" w:rsidRDefault="008A0F8E" w:rsidP="00CD542C">
      <w:pPr>
        <w:spacing w:after="0" w:line="240" w:lineRule="auto"/>
        <w:jc w:val="both"/>
        <w:rPr>
          <w:rFonts w:ascii="Times New Roman" w:hAnsi="Times New Roman"/>
          <w:sz w:val="28"/>
          <w:szCs w:val="28"/>
        </w:rPr>
      </w:pPr>
    </w:p>
    <w:p w:rsidR="000E6EBE" w:rsidRPr="00CD542C" w:rsidRDefault="00B91664" w:rsidP="00CD542C">
      <w:pPr>
        <w:spacing w:after="0" w:line="240" w:lineRule="auto"/>
        <w:jc w:val="both"/>
        <w:rPr>
          <w:rFonts w:ascii="Times New Roman" w:hAnsi="Times New Roman"/>
          <w:sz w:val="28"/>
          <w:szCs w:val="28"/>
        </w:rPr>
      </w:pPr>
      <w:r w:rsidRPr="00CD542C">
        <w:rPr>
          <w:rFonts w:ascii="Times New Roman" w:hAnsi="Times New Roman"/>
          <w:sz w:val="28"/>
          <w:szCs w:val="28"/>
        </w:rPr>
        <w:t>Así pues, el primer paso</w:t>
      </w:r>
      <w:r w:rsidR="00570E87" w:rsidRPr="00CD542C">
        <w:rPr>
          <w:rFonts w:ascii="Times New Roman" w:hAnsi="Times New Roman"/>
          <w:sz w:val="28"/>
          <w:szCs w:val="28"/>
        </w:rPr>
        <w:t xml:space="preserve"> es</w:t>
      </w:r>
      <w:r w:rsidR="005B4343" w:rsidRPr="00CD542C">
        <w:rPr>
          <w:rFonts w:ascii="Times New Roman" w:hAnsi="Times New Roman"/>
          <w:sz w:val="28"/>
          <w:szCs w:val="28"/>
        </w:rPr>
        <w:t xml:space="preserve"> verificar sobre qué parte del tipo recae la acusación de ambigüedad</w:t>
      </w:r>
      <w:r w:rsidR="00570E87" w:rsidRPr="00CD542C">
        <w:rPr>
          <w:rFonts w:ascii="Times New Roman" w:hAnsi="Times New Roman"/>
          <w:sz w:val="28"/>
          <w:szCs w:val="28"/>
        </w:rPr>
        <w:t>. En este caso</w:t>
      </w:r>
      <w:r w:rsidR="00155828" w:rsidRPr="00CD542C">
        <w:rPr>
          <w:rFonts w:ascii="Times New Roman" w:hAnsi="Times New Roman"/>
          <w:sz w:val="28"/>
          <w:szCs w:val="28"/>
        </w:rPr>
        <w:t>, la Sala</w:t>
      </w:r>
      <w:r w:rsidR="00570E87" w:rsidRPr="00CD542C">
        <w:rPr>
          <w:rFonts w:ascii="Times New Roman" w:hAnsi="Times New Roman"/>
          <w:sz w:val="28"/>
          <w:szCs w:val="28"/>
        </w:rPr>
        <w:t xml:space="preserve"> constata</w:t>
      </w:r>
      <w:r w:rsidR="003602AC" w:rsidRPr="00CD542C">
        <w:rPr>
          <w:rFonts w:ascii="Times New Roman" w:hAnsi="Times New Roman"/>
          <w:sz w:val="28"/>
          <w:szCs w:val="28"/>
        </w:rPr>
        <w:t xml:space="preserve"> que el literal</w:t>
      </w:r>
      <w:r w:rsidR="00155828" w:rsidRPr="00CD542C">
        <w:rPr>
          <w:rFonts w:ascii="Times New Roman" w:hAnsi="Times New Roman"/>
          <w:sz w:val="28"/>
          <w:szCs w:val="28"/>
        </w:rPr>
        <w:t xml:space="preserve"> acusado</w:t>
      </w:r>
      <w:r w:rsidR="00B8345E" w:rsidRPr="00CD542C">
        <w:rPr>
          <w:rFonts w:ascii="Times New Roman" w:hAnsi="Times New Roman"/>
          <w:sz w:val="28"/>
          <w:szCs w:val="28"/>
        </w:rPr>
        <w:t xml:space="preserve"> no determina el</w:t>
      </w:r>
      <w:r w:rsidR="005B4343" w:rsidRPr="00CD542C">
        <w:rPr>
          <w:rFonts w:ascii="Times New Roman" w:hAnsi="Times New Roman"/>
          <w:sz w:val="28"/>
          <w:szCs w:val="28"/>
        </w:rPr>
        <w:t xml:space="preserve"> sujeto activo, el sujeto pasivo, el objeto o los bienes jurídicos protegidos ni el</w:t>
      </w:r>
      <w:r w:rsidR="00B8345E" w:rsidRPr="00CD542C">
        <w:rPr>
          <w:rFonts w:ascii="Times New Roman" w:hAnsi="Times New Roman"/>
          <w:sz w:val="28"/>
          <w:szCs w:val="28"/>
        </w:rPr>
        <w:t xml:space="preserve"> verbo rector de la conducta</w:t>
      </w:r>
      <w:r w:rsidR="005B4343" w:rsidRPr="00CD542C">
        <w:rPr>
          <w:rFonts w:ascii="Times New Roman" w:hAnsi="Times New Roman"/>
          <w:sz w:val="28"/>
          <w:szCs w:val="28"/>
        </w:rPr>
        <w:t>,</w:t>
      </w:r>
      <w:r w:rsidR="00B8345E" w:rsidRPr="00CD542C">
        <w:rPr>
          <w:rFonts w:ascii="Times New Roman" w:hAnsi="Times New Roman"/>
          <w:sz w:val="28"/>
          <w:szCs w:val="28"/>
        </w:rPr>
        <w:t xml:space="preserve"> sino </w:t>
      </w:r>
      <w:r w:rsidR="00652909" w:rsidRPr="00CD542C">
        <w:rPr>
          <w:rFonts w:ascii="Times New Roman" w:hAnsi="Times New Roman"/>
          <w:sz w:val="28"/>
          <w:szCs w:val="28"/>
        </w:rPr>
        <w:t xml:space="preserve">que </w:t>
      </w:r>
      <w:r w:rsidR="00570E87" w:rsidRPr="00CD542C">
        <w:rPr>
          <w:rFonts w:ascii="Times New Roman" w:hAnsi="Times New Roman"/>
          <w:sz w:val="28"/>
          <w:szCs w:val="28"/>
        </w:rPr>
        <w:t xml:space="preserve">se trata de </w:t>
      </w:r>
      <w:r w:rsidR="00B8345E" w:rsidRPr="00CD542C">
        <w:rPr>
          <w:rFonts w:ascii="Times New Roman" w:hAnsi="Times New Roman"/>
          <w:sz w:val="28"/>
          <w:szCs w:val="28"/>
        </w:rPr>
        <w:t>un componente</w:t>
      </w:r>
      <w:r w:rsidR="005B4343" w:rsidRPr="00CD542C">
        <w:rPr>
          <w:rFonts w:ascii="Times New Roman" w:hAnsi="Times New Roman"/>
          <w:sz w:val="28"/>
          <w:szCs w:val="28"/>
        </w:rPr>
        <w:t xml:space="preserve"> del tipo que establece circunstancias</w:t>
      </w:r>
      <w:r w:rsidR="00B23FD5" w:rsidRPr="00CD542C">
        <w:rPr>
          <w:rFonts w:ascii="Times New Roman" w:hAnsi="Times New Roman"/>
          <w:sz w:val="28"/>
          <w:szCs w:val="28"/>
        </w:rPr>
        <w:t>,</w:t>
      </w:r>
      <w:r w:rsidR="00C63BBD" w:rsidRPr="00CD542C">
        <w:rPr>
          <w:rFonts w:ascii="Times New Roman" w:hAnsi="Times New Roman"/>
          <w:sz w:val="28"/>
          <w:szCs w:val="28"/>
        </w:rPr>
        <w:t xml:space="preserve"> como elementos descriptivos</w:t>
      </w:r>
      <w:r w:rsidR="00932934" w:rsidRPr="00CD542C">
        <w:rPr>
          <w:rFonts w:ascii="Times New Roman" w:hAnsi="Times New Roman"/>
          <w:sz w:val="28"/>
          <w:szCs w:val="28"/>
        </w:rPr>
        <w:t>,</w:t>
      </w:r>
      <w:r w:rsidR="005B4343" w:rsidRPr="00CD542C">
        <w:rPr>
          <w:rFonts w:ascii="Times New Roman" w:hAnsi="Times New Roman"/>
          <w:sz w:val="28"/>
          <w:szCs w:val="28"/>
        </w:rPr>
        <w:t xml:space="preserve"> </w:t>
      </w:r>
      <w:r w:rsidR="003B59BB" w:rsidRPr="00CD542C">
        <w:rPr>
          <w:rFonts w:ascii="Times New Roman" w:hAnsi="Times New Roman"/>
          <w:sz w:val="28"/>
          <w:szCs w:val="28"/>
        </w:rPr>
        <w:t xml:space="preserve">con el potencial de </w:t>
      </w:r>
      <w:r w:rsidR="008308EC" w:rsidRPr="00CD542C">
        <w:rPr>
          <w:rFonts w:ascii="Times New Roman" w:hAnsi="Times New Roman"/>
          <w:sz w:val="28"/>
          <w:szCs w:val="28"/>
        </w:rPr>
        <w:t xml:space="preserve">permitir </w:t>
      </w:r>
      <w:r w:rsidR="003B59BB" w:rsidRPr="00CD542C">
        <w:rPr>
          <w:rFonts w:ascii="Times New Roman" w:hAnsi="Times New Roman"/>
          <w:sz w:val="28"/>
          <w:szCs w:val="28"/>
        </w:rPr>
        <w:t>la verificación d</w:t>
      </w:r>
      <w:r w:rsidR="0006156D" w:rsidRPr="00CD542C">
        <w:rPr>
          <w:rFonts w:ascii="Times New Roman" w:hAnsi="Times New Roman"/>
          <w:sz w:val="28"/>
          <w:szCs w:val="28"/>
        </w:rPr>
        <w:t>el elemento subjetivo del tipo, es decir</w:t>
      </w:r>
      <w:r w:rsidR="005B4343" w:rsidRPr="00CD542C">
        <w:rPr>
          <w:rFonts w:ascii="Times New Roman" w:hAnsi="Times New Roman"/>
          <w:sz w:val="28"/>
          <w:szCs w:val="28"/>
        </w:rPr>
        <w:t>,</w:t>
      </w:r>
      <w:r w:rsidR="0006156D" w:rsidRPr="00CD542C">
        <w:rPr>
          <w:rFonts w:ascii="Times New Roman" w:hAnsi="Times New Roman"/>
          <w:sz w:val="28"/>
          <w:szCs w:val="28"/>
        </w:rPr>
        <w:t xml:space="preserve"> la intención de matar a una mujer por el hecho de serlo o por motivos de</w:t>
      </w:r>
      <w:r w:rsidR="00155828" w:rsidRPr="00CD542C">
        <w:rPr>
          <w:rFonts w:ascii="Times New Roman" w:hAnsi="Times New Roman"/>
          <w:sz w:val="28"/>
          <w:szCs w:val="28"/>
        </w:rPr>
        <w:t xml:space="preserve"> identidad de</w:t>
      </w:r>
      <w:r w:rsidR="0006156D" w:rsidRPr="00CD542C">
        <w:rPr>
          <w:rFonts w:ascii="Times New Roman" w:hAnsi="Times New Roman"/>
          <w:sz w:val="28"/>
          <w:szCs w:val="28"/>
        </w:rPr>
        <w:t xml:space="preserve"> género. </w:t>
      </w:r>
      <w:r w:rsidR="0096052A" w:rsidRPr="00CD542C">
        <w:rPr>
          <w:rFonts w:ascii="Times New Roman" w:hAnsi="Times New Roman"/>
          <w:sz w:val="28"/>
          <w:szCs w:val="28"/>
        </w:rPr>
        <w:t>Como se advirtió, esta</w:t>
      </w:r>
      <w:r w:rsidRPr="00CD542C">
        <w:rPr>
          <w:rFonts w:ascii="Times New Roman" w:hAnsi="Times New Roman"/>
          <w:sz w:val="28"/>
          <w:szCs w:val="28"/>
        </w:rPr>
        <w:t xml:space="preserve">s circunstancias han sido dispuestas </w:t>
      </w:r>
      <w:r w:rsidR="002C43FF" w:rsidRPr="00CD542C">
        <w:rPr>
          <w:rFonts w:ascii="Times New Roman" w:hAnsi="Times New Roman"/>
          <w:sz w:val="28"/>
          <w:szCs w:val="28"/>
        </w:rPr>
        <w:t xml:space="preserve">como una de las posibilidades </w:t>
      </w:r>
      <w:r w:rsidRPr="00CD542C">
        <w:rPr>
          <w:rFonts w:ascii="Times New Roman" w:hAnsi="Times New Roman"/>
          <w:sz w:val="28"/>
          <w:szCs w:val="28"/>
        </w:rPr>
        <w:t>para entender cuándo está presente</w:t>
      </w:r>
      <w:r w:rsidR="00B8345E" w:rsidRPr="00CD542C">
        <w:rPr>
          <w:rFonts w:ascii="Times New Roman" w:hAnsi="Times New Roman"/>
          <w:sz w:val="28"/>
          <w:szCs w:val="28"/>
        </w:rPr>
        <w:t xml:space="preserve"> el móvil</w:t>
      </w:r>
      <w:r w:rsidR="003762B9" w:rsidRPr="00CD542C">
        <w:rPr>
          <w:rFonts w:ascii="Times New Roman" w:hAnsi="Times New Roman"/>
          <w:sz w:val="28"/>
          <w:szCs w:val="28"/>
        </w:rPr>
        <w:t xml:space="preserve"> desde una perspectiva de género</w:t>
      </w:r>
      <w:r w:rsidR="00B8345E" w:rsidRPr="00CD542C">
        <w:rPr>
          <w:rFonts w:ascii="Times New Roman" w:hAnsi="Times New Roman"/>
          <w:sz w:val="28"/>
          <w:szCs w:val="28"/>
        </w:rPr>
        <w:t>. En este sentido, e</w:t>
      </w:r>
      <w:r w:rsidR="00570E87" w:rsidRPr="00CD542C">
        <w:rPr>
          <w:rFonts w:ascii="Times New Roman" w:hAnsi="Times New Roman"/>
          <w:sz w:val="28"/>
          <w:szCs w:val="28"/>
        </w:rPr>
        <w:t xml:space="preserve">l </w:t>
      </w:r>
      <w:r w:rsidR="00633733" w:rsidRPr="00CD542C">
        <w:rPr>
          <w:rFonts w:ascii="Times New Roman" w:hAnsi="Times New Roman"/>
          <w:sz w:val="28"/>
          <w:szCs w:val="28"/>
        </w:rPr>
        <w:t>literal</w:t>
      </w:r>
      <w:r w:rsidR="00570E87" w:rsidRPr="00CD542C">
        <w:rPr>
          <w:rFonts w:ascii="Times New Roman" w:hAnsi="Times New Roman"/>
          <w:sz w:val="28"/>
          <w:szCs w:val="28"/>
        </w:rPr>
        <w:t xml:space="preserve"> no reemplaza la verificación de la presencia de las circunstancias </w:t>
      </w:r>
      <w:r w:rsidR="00155828" w:rsidRPr="00CD542C">
        <w:rPr>
          <w:rFonts w:ascii="Times New Roman" w:hAnsi="Times New Roman"/>
          <w:sz w:val="28"/>
          <w:szCs w:val="28"/>
        </w:rPr>
        <w:t>en é</w:t>
      </w:r>
      <w:r w:rsidR="00633733" w:rsidRPr="00CD542C">
        <w:rPr>
          <w:rFonts w:ascii="Times New Roman" w:hAnsi="Times New Roman"/>
          <w:sz w:val="28"/>
          <w:szCs w:val="28"/>
        </w:rPr>
        <w:t xml:space="preserve">l previstas; es decir, </w:t>
      </w:r>
      <w:r w:rsidR="00570E87" w:rsidRPr="00CD542C">
        <w:rPr>
          <w:rFonts w:ascii="Times New Roman" w:hAnsi="Times New Roman"/>
          <w:sz w:val="28"/>
          <w:szCs w:val="28"/>
        </w:rPr>
        <w:t>no hace que se suponga el</w:t>
      </w:r>
      <w:r w:rsidR="00972D1E" w:rsidRPr="00CD542C">
        <w:rPr>
          <w:rFonts w:ascii="Times New Roman" w:hAnsi="Times New Roman"/>
          <w:sz w:val="28"/>
          <w:szCs w:val="28"/>
        </w:rPr>
        <w:t xml:space="preserve"> móvil, pues si bien en este tipo de delitos especiales el contexto es esencial p</w:t>
      </w:r>
      <w:r w:rsidR="005B4343" w:rsidRPr="00CD542C">
        <w:rPr>
          <w:rFonts w:ascii="Times New Roman" w:hAnsi="Times New Roman"/>
          <w:sz w:val="28"/>
          <w:szCs w:val="28"/>
        </w:rPr>
        <w:t>ara identificar</w:t>
      </w:r>
      <w:r w:rsidR="00972D1E" w:rsidRPr="00CD542C">
        <w:rPr>
          <w:rFonts w:ascii="Times New Roman" w:hAnsi="Times New Roman"/>
          <w:sz w:val="28"/>
          <w:szCs w:val="28"/>
        </w:rPr>
        <w:t xml:space="preserve"> las razones de género</w:t>
      </w:r>
      <w:r w:rsidR="005B4343" w:rsidRPr="00CD542C">
        <w:rPr>
          <w:rFonts w:ascii="Times New Roman" w:hAnsi="Times New Roman"/>
          <w:sz w:val="28"/>
          <w:szCs w:val="28"/>
        </w:rPr>
        <w:t>,</w:t>
      </w:r>
      <w:r w:rsidR="00972D1E" w:rsidRPr="00CD542C">
        <w:rPr>
          <w:rFonts w:ascii="Times New Roman" w:hAnsi="Times New Roman"/>
          <w:sz w:val="28"/>
          <w:szCs w:val="28"/>
        </w:rPr>
        <w:t xml:space="preserve"> </w:t>
      </w:r>
      <w:r w:rsidR="00C476C3" w:rsidRPr="00CD542C">
        <w:rPr>
          <w:rFonts w:ascii="Times New Roman" w:hAnsi="Times New Roman"/>
          <w:sz w:val="28"/>
          <w:szCs w:val="28"/>
        </w:rPr>
        <w:t xml:space="preserve">éste </w:t>
      </w:r>
      <w:r w:rsidR="00972D1E" w:rsidRPr="00CD542C">
        <w:rPr>
          <w:rFonts w:ascii="Times New Roman" w:hAnsi="Times New Roman"/>
          <w:sz w:val="28"/>
          <w:szCs w:val="28"/>
        </w:rPr>
        <w:t>no puede ser establecido como un elemento que automáticamente determine un homicidio como un feminici</w:t>
      </w:r>
      <w:r w:rsidR="00C476C3" w:rsidRPr="00CD542C">
        <w:rPr>
          <w:rFonts w:ascii="Times New Roman" w:hAnsi="Times New Roman"/>
          <w:sz w:val="28"/>
          <w:szCs w:val="28"/>
        </w:rPr>
        <w:t xml:space="preserve">dio, sin un análisis que en conexión con la conducta </w:t>
      </w:r>
      <w:r w:rsidR="005B4343" w:rsidRPr="00CD542C">
        <w:rPr>
          <w:rFonts w:ascii="Times New Roman" w:hAnsi="Times New Roman"/>
          <w:sz w:val="28"/>
          <w:szCs w:val="28"/>
        </w:rPr>
        <w:t xml:space="preserve">verifique </w:t>
      </w:r>
      <w:r w:rsidR="00C476C3" w:rsidRPr="00CD542C">
        <w:rPr>
          <w:rFonts w:ascii="Times New Roman" w:hAnsi="Times New Roman"/>
          <w:sz w:val="28"/>
          <w:szCs w:val="28"/>
        </w:rPr>
        <w:t>que la misma f</w:t>
      </w:r>
      <w:r w:rsidR="005B4343" w:rsidRPr="00CD542C">
        <w:rPr>
          <w:rFonts w:ascii="Times New Roman" w:hAnsi="Times New Roman"/>
          <w:sz w:val="28"/>
          <w:szCs w:val="28"/>
        </w:rPr>
        <w:t xml:space="preserve">ue perpetrada con </w:t>
      </w:r>
      <w:r w:rsidR="005B4343" w:rsidRPr="00CD542C">
        <w:rPr>
          <w:rFonts w:ascii="Times New Roman" w:hAnsi="Times New Roman"/>
          <w:sz w:val="28"/>
          <w:szCs w:val="28"/>
        </w:rPr>
        <w:lastRenderedPageBreak/>
        <w:t>esa intención, además del correspondiente análisis d</w:t>
      </w:r>
      <w:r w:rsidR="003602AC" w:rsidRPr="00CD542C">
        <w:rPr>
          <w:rFonts w:ascii="Times New Roman" w:hAnsi="Times New Roman"/>
          <w:sz w:val="28"/>
          <w:szCs w:val="28"/>
        </w:rPr>
        <w:t>e culpabilidad que se debe efectuar</w:t>
      </w:r>
      <w:r w:rsidR="005B4343" w:rsidRPr="00CD542C">
        <w:rPr>
          <w:rFonts w:ascii="Times New Roman" w:hAnsi="Times New Roman"/>
          <w:sz w:val="28"/>
          <w:szCs w:val="28"/>
        </w:rPr>
        <w:t xml:space="preserve"> en todo proceso penal.</w:t>
      </w:r>
    </w:p>
    <w:p w:rsidR="00937AFA" w:rsidRPr="00CD542C" w:rsidRDefault="00937AFA" w:rsidP="00CD542C">
      <w:pPr>
        <w:spacing w:after="0" w:line="240" w:lineRule="auto"/>
        <w:jc w:val="both"/>
        <w:rPr>
          <w:rFonts w:ascii="Times New Roman" w:hAnsi="Times New Roman"/>
          <w:sz w:val="28"/>
          <w:szCs w:val="28"/>
        </w:rPr>
      </w:pPr>
    </w:p>
    <w:p w:rsidR="000B169C"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5</w:t>
      </w:r>
      <w:r w:rsidR="00A273D0" w:rsidRPr="00CD542C">
        <w:rPr>
          <w:rFonts w:ascii="Times New Roman" w:hAnsi="Times New Roman"/>
          <w:sz w:val="28"/>
          <w:szCs w:val="28"/>
        </w:rPr>
        <w:t>1</w:t>
      </w:r>
      <w:r w:rsidR="00535D14" w:rsidRPr="00CD542C">
        <w:rPr>
          <w:rFonts w:ascii="Times New Roman" w:hAnsi="Times New Roman"/>
          <w:sz w:val="28"/>
          <w:szCs w:val="28"/>
        </w:rPr>
        <w:t xml:space="preserve">. </w:t>
      </w:r>
      <w:r w:rsidR="00570E87" w:rsidRPr="00CD542C">
        <w:rPr>
          <w:rFonts w:ascii="Times New Roman" w:hAnsi="Times New Roman"/>
          <w:sz w:val="28"/>
          <w:szCs w:val="28"/>
        </w:rPr>
        <w:t>Entonces, e</w:t>
      </w:r>
      <w:r w:rsidR="00416AEB" w:rsidRPr="00CD542C">
        <w:rPr>
          <w:rFonts w:ascii="Times New Roman" w:hAnsi="Times New Roman"/>
          <w:sz w:val="28"/>
          <w:szCs w:val="28"/>
        </w:rPr>
        <w:t>n concreto</w:t>
      </w:r>
      <w:r w:rsidR="00972D1E" w:rsidRPr="00CD542C">
        <w:rPr>
          <w:rFonts w:ascii="Times New Roman" w:hAnsi="Times New Roman"/>
          <w:sz w:val="28"/>
          <w:szCs w:val="28"/>
        </w:rPr>
        <w:t>, el cuestionamiento recae sobre sí la presencia de antecedentes, indicios o la amenaza de violencia en las dos modalidades descritas en</w:t>
      </w:r>
      <w:r w:rsidR="003602AC" w:rsidRPr="00CD542C">
        <w:rPr>
          <w:rFonts w:ascii="Times New Roman" w:hAnsi="Times New Roman"/>
          <w:sz w:val="28"/>
          <w:szCs w:val="28"/>
        </w:rPr>
        <w:t xml:space="preserve"> el literal</w:t>
      </w:r>
      <w:r w:rsidR="003C1BDD" w:rsidRPr="00CD542C">
        <w:rPr>
          <w:rFonts w:ascii="Times New Roman" w:hAnsi="Times New Roman"/>
          <w:sz w:val="28"/>
          <w:szCs w:val="28"/>
        </w:rPr>
        <w:t>, a saber, -</w:t>
      </w:r>
      <w:r w:rsidR="003C1BDD" w:rsidRPr="00CD542C">
        <w:rPr>
          <w:rFonts w:ascii="Times New Roman" w:hAnsi="Times New Roman"/>
          <w:b/>
          <w:bCs/>
          <w:sz w:val="28"/>
          <w:szCs w:val="28"/>
        </w:rPr>
        <w:t>cualquier tipo de violencia en los diferentes ámbitos sociales</w:t>
      </w:r>
      <w:r w:rsidR="003C1BDD" w:rsidRPr="00CD542C">
        <w:rPr>
          <w:rFonts w:ascii="Times New Roman" w:hAnsi="Times New Roman"/>
          <w:sz w:val="28"/>
          <w:szCs w:val="28"/>
        </w:rPr>
        <w:t xml:space="preserve">- y </w:t>
      </w:r>
      <w:r w:rsidR="00155828" w:rsidRPr="00CD542C">
        <w:rPr>
          <w:rFonts w:ascii="Times New Roman" w:hAnsi="Times New Roman"/>
          <w:sz w:val="28"/>
          <w:szCs w:val="28"/>
        </w:rPr>
        <w:t>-</w:t>
      </w:r>
      <w:r w:rsidR="003C1BDD" w:rsidRPr="00CD542C">
        <w:rPr>
          <w:rFonts w:ascii="Times New Roman" w:hAnsi="Times New Roman"/>
          <w:b/>
          <w:bCs/>
          <w:sz w:val="28"/>
          <w:szCs w:val="28"/>
        </w:rPr>
        <w:t>la violencia de género</w:t>
      </w:r>
      <w:r w:rsidR="003C1BDD" w:rsidRPr="00CD542C">
        <w:rPr>
          <w:rFonts w:ascii="Times New Roman" w:hAnsi="Times New Roman"/>
          <w:sz w:val="28"/>
          <w:szCs w:val="28"/>
        </w:rPr>
        <w:t>- perpetradas por el sujeto activo en contra del pasivo</w:t>
      </w:r>
      <w:r w:rsidR="002C5A09" w:rsidRPr="00CD542C">
        <w:rPr>
          <w:rFonts w:ascii="Times New Roman" w:hAnsi="Times New Roman"/>
          <w:sz w:val="28"/>
          <w:szCs w:val="28"/>
        </w:rPr>
        <w:t>,</w:t>
      </w:r>
      <w:r w:rsidR="003C1BDD" w:rsidRPr="00CD542C">
        <w:rPr>
          <w:rFonts w:ascii="Times New Roman" w:hAnsi="Times New Roman"/>
          <w:sz w:val="28"/>
          <w:szCs w:val="28"/>
        </w:rPr>
        <w:t xml:space="preserve"> sin necesidad de</w:t>
      </w:r>
      <w:r w:rsidR="00972D1E" w:rsidRPr="00CD542C">
        <w:rPr>
          <w:rFonts w:ascii="Times New Roman" w:hAnsi="Times New Roman"/>
          <w:sz w:val="28"/>
          <w:szCs w:val="28"/>
        </w:rPr>
        <w:t xml:space="preserve"> denuncia</w:t>
      </w:r>
      <w:r w:rsidR="002C5A09" w:rsidRPr="00CD542C">
        <w:rPr>
          <w:rFonts w:ascii="Times New Roman" w:hAnsi="Times New Roman"/>
          <w:sz w:val="28"/>
          <w:szCs w:val="28"/>
        </w:rPr>
        <w:t>,</w:t>
      </w:r>
      <w:r w:rsidR="00972D1E" w:rsidRPr="00CD542C">
        <w:rPr>
          <w:rFonts w:ascii="Times New Roman" w:hAnsi="Times New Roman"/>
          <w:sz w:val="28"/>
          <w:szCs w:val="28"/>
        </w:rPr>
        <w:t xml:space="preserve"> configuran criterios claros y precisos para determinar la existencia del elemento subjetivo del tipo. </w:t>
      </w:r>
      <w:r w:rsidR="00570E87" w:rsidRPr="00CD542C">
        <w:rPr>
          <w:rFonts w:ascii="Times New Roman" w:hAnsi="Times New Roman"/>
          <w:sz w:val="28"/>
          <w:szCs w:val="28"/>
        </w:rPr>
        <w:t>Así, la Corte pasará ahora a analizar c</w:t>
      </w:r>
      <w:r w:rsidR="003602AC" w:rsidRPr="00CD542C">
        <w:rPr>
          <w:rFonts w:ascii="Times New Roman" w:hAnsi="Times New Roman"/>
          <w:sz w:val="28"/>
          <w:szCs w:val="28"/>
        </w:rPr>
        <w:t>ada una de las partes del literal acusado</w:t>
      </w:r>
      <w:r w:rsidR="00570E87" w:rsidRPr="00CD542C">
        <w:rPr>
          <w:rFonts w:ascii="Times New Roman" w:hAnsi="Times New Roman"/>
          <w:sz w:val="28"/>
          <w:szCs w:val="28"/>
        </w:rPr>
        <w:t xml:space="preserve"> para constatar si cumplen con el principio de legalidad.</w:t>
      </w:r>
    </w:p>
    <w:p w:rsidR="000B169C" w:rsidRPr="00CD542C" w:rsidRDefault="000B169C" w:rsidP="00CD542C">
      <w:pPr>
        <w:spacing w:after="0" w:line="240" w:lineRule="auto"/>
        <w:jc w:val="both"/>
        <w:rPr>
          <w:rFonts w:ascii="Times New Roman" w:hAnsi="Times New Roman"/>
          <w:sz w:val="28"/>
          <w:szCs w:val="28"/>
        </w:rPr>
      </w:pPr>
    </w:p>
    <w:p w:rsidR="00C65C54" w:rsidRPr="00CD542C" w:rsidRDefault="00155828" w:rsidP="00CD542C">
      <w:pPr>
        <w:spacing w:after="0" w:line="240" w:lineRule="auto"/>
        <w:jc w:val="both"/>
        <w:rPr>
          <w:rFonts w:ascii="Times New Roman" w:hAnsi="Times New Roman"/>
          <w:sz w:val="28"/>
          <w:szCs w:val="28"/>
        </w:rPr>
      </w:pPr>
      <w:r w:rsidRPr="00CD542C">
        <w:rPr>
          <w:rFonts w:ascii="Times New Roman" w:hAnsi="Times New Roman"/>
          <w:sz w:val="28"/>
          <w:szCs w:val="28"/>
        </w:rPr>
        <w:t>La Sala</w:t>
      </w:r>
      <w:r w:rsidR="00416AEB" w:rsidRPr="00CD542C">
        <w:rPr>
          <w:rFonts w:ascii="Times New Roman" w:hAnsi="Times New Roman"/>
          <w:sz w:val="28"/>
          <w:szCs w:val="28"/>
        </w:rPr>
        <w:t xml:space="preserve"> considera que los apartes</w:t>
      </w:r>
      <w:r w:rsidR="00DF494F" w:rsidRPr="00CD542C">
        <w:rPr>
          <w:rFonts w:ascii="Times New Roman" w:hAnsi="Times New Roman"/>
          <w:sz w:val="28"/>
          <w:szCs w:val="28"/>
        </w:rPr>
        <w:t xml:space="preserve"> del inciso identificados como primero</w:t>
      </w:r>
      <w:r w:rsidR="00416AEB" w:rsidRPr="00CD542C">
        <w:rPr>
          <w:rFonts w:ascii="Times New Roman" w:hAnsi="Times New Roman"/>
          <w:sz w:val="28"/>
          <w:szCs w:val="28"/>
        </w:rPr>
        <w:t xml:space="preserve"> y cuarto, e</w:t>
      </w:r>
      <w:r w:rsidR="009B042F" w:rsidRPr="00CD542C">
        <w:rPr>
          <w:rFonts w:ascii="Times New Roman" w:hAnsi="Times New Roman"/>
          <w:sz w:val="28"/>
          <w:szCs w:val="28"/>
        </w:rPr>
        <w:t>s decir, la descripción general de las modalidades de las circunstancias allí contenidas</w:t>
      </w:r>
      <w:r w:rsidR="003602AC" w:rsidRPr="00CD542C">
        <w:rPr>
          <w:rFonts w:ascii="Times New Roman" w:hAnsi="Times New Roman"/>
          <w:sz w:val="28"/>
          <w:szCs w:val="28"/>
        </w:rPr>
        <w:t xml:space="preserve"> como </w:t>
      </w:r>
      <w:r w:rsidRPr="00CD542C">
        <w:rPr>
          <w:rFonts w:ascii="Times New Roman" w:hAnsi="Times New Roman"/>
          <w:sz w:val="28"/>
          <w:szCs w:val="28"/>
        </w:rPr>
        <w:t>-</w:t>
      </w:r>
      <w:r w:rsidR="003602AC" w:rsidRPr="00CD542C">
        <w:rPr>
          <w:rFonts w:ascii="Times New Roman" w:hAnsi="Times New Roman"/>
          <w:sz w:val="28"/>
          <w:szCs w:val="28"/>
        </w:rPr>
        <w:t>los antecedentes, indicios</w:t>
      </w:r>
      <w:r w:rsidR="00883C02" w:rsidRPr="00CD542C">
        <w:rPr>
          <w:rFonts w:ascii="Times New Roman" w:hAnsi="Times New Roman"/>
          <w:sz w:val="28"/>
          <w:szCs w:val="28"/>
        </w:rPr>
        <w:t xml:space="preserve"> de violencia</w:t>
      </w:r>
      <w:r w:rsidR="003602AC" w:rsidRPr="00CD542C">
        <w:rPr>
          <w:rFonts w:ascii="Times New Roman" w:hAnsi="Times New Roman"/>
          <w:sz w:val="28"/>
          <w:szCs w:val="28"/>
        </w:rPr>
        <w:t xml:space="preserve"> o s</w:t>
      </w:r>
      <w:r w:rsidRPr="00CD542C">
        <w:rPr>
          <w:rFonts w:ascii="Times New Roman" w:hAnsi="Times New Roman"/>
          <w:sz w:val="28"/>
          <w:szCs w:val="28"/>
        </w:rPr>
        <w:t>u amenaza, el requisito de que éstos hayan sido perpetrados</w:t>
      </w:r>
      <w:r w:rsidR="003602AC" w:rsidRPr="00CD542C">
        <w:rPr>
          <w:rFonts w:ascii="Times New Roman" w:hAnsi="Times New Roman"/>
          <w:sz w:val="28"/>
          <w:szCs w:val="28"/>
        </w:rPr>
        <w:t xml:space="preserve"> por el autor del delito en contra de la víctima y que no se requiera una denuncia</w:t>
      </w:r>
      <w:r w:rsidRPr="00CD542C">
        <w:rPr>
          <w:rFonts w:ascii="Times New Roman" w:hAnsi="Times New Roman"/>
          <w:sz w:val="28"/>
          <w:szCs w:val="28"/>
        </w:rPr>
        <w:t>-</w:t>
      </w:r>
      <w:r w:rsidR="009B042F" w:rsidRPr="00CD542C">
        <w:rPr>
          <w:rFonts w:ascii="Times New Roman" w:hAnsi="Times New Roman"/>
          <w:sz w:val="28"/>
          <w:szCs w:val="28"/>
        </w:rPr>
        <w:t xml:space="preserve">, </w:t>
      </w:r>
      <w:r w:rsidR="00416AEB" w:rsidRPr="00CD542C">
        <w:rPr>
          <w:rFonts w:ascii="Times New Roman" w:hAnsi="Times New Roman"/>
          <w:sz w:val="28"/>
          <w:szCs w:val="28"/>
        </w:rPr>
        <w:t>respetan el principio d</w:t>
      </w:r>
      <w:r w:rsidR="00957455" w:rsidRPr="00CD542C">
        <w:rPr>
          <w:rFonts w:ascii="Times New Roman" w:hAnsi="Times New Roman"/>
          <w:sz w:val="28"/>
          <w:szCs w:val="28"/>
        </w:rPr>
        <w:t>e legalidad, por</w:t>
      </w:r>
      <w:r w:rsidR="0052685F" w:rsidRPr="00CD542C">
        <w:rPr>
          <w:rFonts w:ascii="Times New Roman" w:hAnsi="Times New Roman"/>
          <w:sz w:val="28"/>
          <w:szCs w:val="28"/>
        </w:rPr>
        <w:t xml:space="preserve"> comprender</w:t>
      </w:r>
      <w:r w:rsidR="00416AEB" w:rsidRPr="00CD542C">
        <w:rPr>
          <w:rFonts w:ascii="Times New Roman" w:hAnsi="Times New Roman"/>
          <w:sz w:val="28"/>
          <w:szCs w:val="28"/>
        </w:rPr>
        <w:t xml:space="preserve"> conceptos claros y precisos</w:t>
      </w:r>
      <w:r w:rsidR="00957455" w:rsidRPr="00CD542C">
        <w:rPr>
          <w:rFonts w:ascii="Times New Roman" w:hAnsi="Times New Roman"/>
          <w:sz w:val="28"/>
          <w:szCs w:val="28"/>
        </w:rPr>
        <w:t xml:space="preserve"> que no admiten ambigüedad</w:t>
      </w:r>
      <w:r w:rsidR="00416AEB" w:rsidRPr="00CD542C">
        <w:rPr>
          <w:rFonts w:ascii="Times New Roman" w:hAnsi="Times New Roman"/>
          <w:sz w:val="28"/>
          <w:szCs w:val="28"/>
        </w:rPr>
        <w:t xml:space="preserve">. </w:t>
      </w:r>
      <w:r w:rsidR="0052685F" w:rsidRPr="00CD542C">
        <w:rPr>
          <w:rFonts w:ascii="Times New Roman" w:hAnsi="Times New Roman"/>
          <w:sz w:val="28"/>
          <w:szCs w:val="28"/>
        </w:rPr>
        <w:t>Ahora bien, en cuanto al primero</w:t>
      </w:r>
      <w:r w:rsidR="00883C02" w:rsidRPr="00CD542C">
        <w:rPr>
          <w:rFonts w:ascii="Times New Roman" w:hAnsi="Times New Roman"/>
          <w:sz w:val="28"/>
          <w:szCs w:val="28"/>
        </w:rPr>
        <w:t xml:space="preserve"> (</w:t>
      </w:r>
      <w:r w:rsidR="00883C02" w:rsidRPr="00CD542C">
        <w:rPr>
          <w:rFonts w:ascii="Times New Roman" w:hAnsi="Times New Roman"/>
          <w:b/>
          <w:sz w:val="28"/>
          <w:szCs w:val="28"/>
        </w:rPr>
        <w:t>antecedentes, indicios o amenaza de violencia</w:t>
      </w:r>
      <w:r w:rsidRPr="00CD542C">
        <w:rPr>
          <w:rFonts w:ascii="Times New Roman" w:hAnsi="Times New Roman"/>
          <w:b/>
          <w:sz w:val="28"/>
          <w:szCs w:val="28"/>
        </w:rPr>
        <w:t xml:space="preserve"> en sus dos modalidades</w:t>
      </w:r>
      <w:r w:rsidR="00883C02" w:rsidRPr="00CD542C">
        <w:rPr>
          <w:rFonts w:ascii="Times New Roman" w:hAnsi="Times New Roman"/>
          <w:sz w:val="28"/>
          <w:szCs w:val="28"/>
        </w:rPr>
        <w:t>)</w:t>
      </w:r>
      <w:r w:rsidR="0052685F" w:rsidRPr="00CD542C">
        <w:rPr>
          <w:rFonts w:ascii="Times New Roman" w:hAnsi="Times New Roman"/>
          <w:sz w:val="28"/>
          <w:szCs w:val="28"/>
        </w:rPr>
        <w:t xml:space="preserve">, </w:t>
      </w:r>
      <w:r w:rsidR="00DF494F" w:rsidRPr="00CD542C">
        <w:rPr>
          <w:rFonts w:ascii="Times New Roman" w:hAnsi="Times New Roman"/>
          <w:sz w:val="28"/>
          <w:szCs w:val="28"/>
        </w:rPr>
        <w:t>esta Corporación</w:t>
      </w:r>
      <w:r w:rsidR="0052685F" w:rsidRPr="00CD542C">
        <w:rPr>
          <w:rFonts w:ascii="Times New Roman" w:hAnsi="Times New Roman"/>
          <w:sz w:val="28"/>
          <w:szCs w:val="28"/>
        </w:rPr>
        <w:t xml:space="preserve"> verifica que e</w:t>
      </w:r>
      <w:r w:rsidR="005F7508" w:rsidRPr="00CD542C">
        <w:rPr>
          <w:rFonts w:ascii="Times New Roman" w:hAnsi="Times New Roman"/>
          <w:sz w:val="28"/>
          <w:szCs w:val="28"/>
        </w:rPr>
        <w:t xml:space="preserve">l uso común del </w:t>
      </w:r>
      <w:r w:rsidR="000B169C" w:rsidRPr="00CD542C">
        <w:rPr>
          <w:rFonts w:ascii="Times New Roman" w:hAnsi="Times New Roman"/>
          <w:sz w:val="28"/>
          <w:szCs w:val="28"/>
        </w:rPr>
        <w:t>antecedente</w:t>
      </w:r>
      <w:r w:rsidR="005F7508" w:rsidRPr="00CD542C">
        <w:rPr>
          <w:rFonts w:ascii="Times New Roman" w:hAnsi="Times New Roman"/>
          <w:sz w:val="28"/>
          <w:szCs w:val="28"/>
        </w:rPr>
        <w:t xml:space="preserve"> se refiere a circunstancias previas a otras, es decir, un hecho pasado</w:t>
      </w:r>
      <w:r w:rsidR="00E25362" w:rsidRPr="00CD542C">
        <w:rPr>
          <w:rStyle w:val="Refdenotaalpie"/>
          <w:rFonts w:ascii="Times New Roman" w:hAnsi="Times New Roman"/>
          <w:sz w:val="28"/>
          <w:szCs w:val="28"/>
        </w:rPr>
        <w:footnoteReference w:id="109"/>
      </w:r>
      <w:r w:rsidR="00E25362" w:rsidRPr="00CD542C">
        <w:rPr>
          <w:rFonts w:ascii="Times New Roman" w:hAnsi="Times New Roman"/>
          <w:sz w:val="28"/>
          <w:szCs w:val="28"/>
        </w:rPr>
        <w:t>, que en este caso no requiere haber sido denunciado ante las autoridades para que</w:t>
      </w:r>
      <w:r w:rsidR="00957455" w:rsidRPr="00CD542C">
        <w:rPr>
          <w:rFonts w:ascii="Times New Roman" w:hAnsi="Times New Roman"/>
          <w:sz w:val="28"/>
          <w:szCs w:val="28"/>
        </w:rPr>
        <w:t xml:space="preserve"> sea considerado</w:t>
      </w:r>
      <w:r w:rsidR="00E25362" w:rsidRPr="00CD542C">
        <w:rPr>
          <w:rFonts w:ascii="Times New Roman" w:hAnsi="Times New Roman"/>
          <w:sz w:val="28"/>
          <w:szCs w:val="28"/>
        </w:rPr>
        <w:t>. De otra parte, un indicio, se refiere al “</w:t>
      </w:r>
      <w:r w:rsidR="00E25362" w:rsidRPr="00CD542C">
        <w:rPr>
          <w:rFonts w:ascii="Times New Roman" w:hAnsi="Times New Roman"/>
          <w:i/>
          <w:iCs/>
          <w:sz w:val="28"/>
          <w:szCs w:val="28"/>
        </w:rPr>
        <w:t>fenómeno que permite conocer o inferir la existencia de otro no percibido</w:t>
      </w:r>
      <w:r w:rsidR="00E25362" w:rsidRPr="00CD542C">
        <w:rPr>
          <w:rFonts w:ascii="Times New Roman" w:hAnsi="Times New Roman"/>
          <w:sz w:val="28"/>
          <w:szCs w:val="28"/>
        </w:rPr>
        <w:t>”</w:t>
      </w:r>
      <w:r w:rsidR="00E25362" w:rsidRPr="00CD542C">
        <w:rPr>
          <w:rStyle w:val="Refdenotaalpie"/>
          <w:rFonts w:ascii="Times New Roman" w:hAnsi="Times New Roman"/>
          <w:sz w:val="28"/>
          <w:szCs w:val="28"/>
        </w:rPr>
        <w:footnoteReference w:id="110"/>
      </w:r>
      <w:r w:rsidR="00E25362" w:rsidRPr="00CD542C">
        <w:rPr>
          <w:rFonts w:ascii="Times New Roman" w:hAnsi="Times New Roman"/>
          <w:sz w:val="28"/>
          <w:szCs w:val="28"/>
        </w:rPr>
        <w:t xml:space="preserve">. </w:t>
      </w:r>
      <w:r w:rsidR="005F7508" w:rsidRPr="00CD542C">
        <w:rPr>
          <w:rFonts w:ascii="Times New Roman" w:hAnsi="Times New Roman"/>
          <w:sz w:val="28"/>
          <w:szCs w:val="28"/>
        </w:rPr>
        <w:t xml:space="preserve"> </w:t>
      </w:r>
      <w:r w:rsidR="00E25362" w:rsidRPr="00CD542C">
        <w:rPr>
          <w:rFonts w:ascii="Times New Roman" w:hAnsi="Times New Roman"/>
          <w:sz w:val="28"/>
          <w:szCs w:val="28"/>
        </w:rPr>
        <w:t xml:space="preserve">Así, el </w:t>
      </w:r>
      <w:r w:rsidR="000B169C" w:rsidRPr="00CD542C">
        <w:rPr>
          <w:rFonts w:ascii="Times New Roman" w:hAnsi="Times New Roman"/>
          <w:sz w:val="28"/>
          <w:szCs w:val="28"/>
        </w:rPr>
        <w:t>Código General del Proceso estab</w:t>
      </w:r>
      <w:r w:rsidR="005B751C" w:rsidRPr="00CD542C">
        <w:rPr>
          <w:rFonts w:ascii="Times New Roman" w:hAnsi="Times New Roman"/>
          <w:sz w:val="28"/>
          <w:szCs w:val="28"/>
        </w:rPr>
        <w:t>lece que los indicios son</w:t>
      </w:r>
      <w:r w:rsidR="000B169C" w:rsidRPr="00CD542C">
        <w:rPr>
          <w:rFonts w:ascii="Times New Roman" w:hAnsi="Times New Roman"/>
          <w:sz w:val="28"/>
          <w:szCs w:val="28"/>
        </w:rPr>
        <w:t xml:space="preserve"> medios de prueba</w:t>
      </w:r>
      <w:r w:rsidR="000B169C" w:rsidRPr="00CD542C">
        <w:rPr>
          <w:rStyle w:val="Refdenotaalpie"/>
          <w:rFonts w:ascii="Times New Roman" w:hAnsi="Times New Roman"/>
          <w:sz w:val="28"/>
          <w:szCs w:val="28"/>
        </w:rPr>
        <w:footnoteReference w:id="111"/>
      </w:r>
      <w:r w:rsidR="000B169C" w:rsidRPr="00CD542C">
        <w:rPr>
          <w:rFonts w:ascii="Times New Roman" w:hAnsi="Times New Roman"/>
          <w:sz w:val="28"/>
          <w:szCs w:val="28"/>
        </w:rPr>
        <w:t>. No obstante</w:t>
      </w:r>
      <w:r w:rsidR="00E25362" w:rsidRPr="00CD542C">
        <w:rPr>
          <w:rFonts w:ascii="Times New Roman" w:hAnsi="Times New Roman"/>
          <w:sz w:val="28"/>
          <w:szCs w:val="28"/>
        </w:rPr>
        <w:t>,</w:t>
      </w:r>
      <w:r w:rsidR="000B169C" w:rsidRPr="00CD542C">
        <w:rPr>
          <w:rFonts w:ascii="Times New Roman" w:hAnsi="Times New Roman"/>
          <w:sz w:val="28"/>
          <w:szCs w:val="28"/>
        </w:rPr>
        <w:t xml:space="preserve"> para que un hecho</w:t>
      </w:r>
      <w:r w:rsidR="00957455" w:rsidRPr="00CD542C">
        <w:rPr>
          <w:rFonts w:ascii="Times New Roman" w:hAnsi="Times New Roman"/>
          <w:sz w:val="28"/>
          <w:szCs w:val="28"/>
        </w:rPr>
        <w:t xml:space="preserve"> pueda considerarse un indicio é</w:t>
      </w:r>
      <w:r w:rsidR="000B169C" w:rsidRPr="00CD542C">
        <w:rPr>
          <w:rFonts w:ascii="Times New Roman" w:hAnsi="Times New Roman"/>
          <w:sz w:val="28"/>
          <w:szCs w:val="28"/>
        </w:rPr>
        <w:t>ste debe estar debidamente probado en el proceso</w:t>
      </w:r>
      <w:r w:rsidR="000B169C" w:rsidRPr="00CD542C">
        <w:rPr>
          <w:rStyle w:val="Refdenotaalpie"/>
          <w:rFonts w:ascii="Times New Roman" w:hAnsi="Times New Roman"/>
          <w:sz w:val="28"/>
          <w:szCs w:val="28"/>
        </w:rPr>
        <w:footnoteReference w:id="112"/>
      </w:r>
      <w:r w:rsidR="000B169C" w:rsidRPr="00CD542C">
        <w:rPr>
          <w:rFonts w:ascii="Times New Roman" w:hAnsi="Times New Roman"/>
          <w:sz w:val="28"/>
          <w:szCs w:val="28"/>
        </w:rPr>
        <w:t>.</w:t>
      </w:r>
      <w:r w:rsidR="0052685F" w:rsidRPr="00CD542C">
        <w:rPr>
          <w:rFonts w:ascii="Times New Roman" w:hAnsi="Times New Roman"/>
          <w:sz w:val="28"/>
          <w:szCs w:val="28"/>
        </w:rPr>
        <w:t xml:space="preserve"> </w:t>
      </w:r>
      <w:r w:rsidR="00C65C54" w:rsidRPr="00CD542C">
        <w:rPr>
          <w:rFonts w:ascii="Times New Roman" w:hAnsi="Times New Roman"/>
          <w:sz w:val="28"/>
          <w:szCs w:val="28"/>
        </w:rPr>
        <w:t>Por último, una amenaza se refiere al uso de cualquier medio para intimidar a alguien, con el anuncio explícito o implícito de la provocaci</w:t>
      </w:r>
      <w:r w:rsidR="005D038B" w:rsidRPr="00CD542C">
        <w:rPr>
          <w:rFonts w:ascii="Times New Roman" w:hAnsi="Times New Roman"/>
          <w:sz w:val="28"/>
          <w:szCs w:val="28"/>
        </w:rPr>
        <w:t>ón de un daño</w:t>
      </w:r>
      <w:r w:rsidR="00C65C54" w:rsidRPr="00CD542C">
        <w:rPr>
          <w:rFonts w:ascii="Times New Roman" w:hAnsi="Times New Roman"/>
          <w:sz w:val="28"/>
          <w:szCs w:val="28"/>
        </w:rPr>
        <w:t xml:space="preserve"> para éste o para algo o alguien que tenga un valor para el amenazado. </w:t>
      </w:r>
      <w:r w:rsidR="005D038B" w:rsidRPr="00CD542C">
        <w:rPr>
          <w:rFonts w:ascii="Times New Roman" w:hAnsi="Times New Roman"/>
          <w:sz w:val="28"/>
          <w:szCs w:val="28"/>
        </w:rPr>
        <w:t xml:space="preserve">Así, </w:t>
      </w:r>
      <w:r w:rsidR="0052685F" w:rsidRPr="00CD542C">
        <w:rPr>
          <w:rFonts w:ascii="Times New Roman" w:hAnsi="Times New Roman"/>
          <w:sz w:val="28"/>
          <w:szCs w:val="28"/>
        </w:rPr>
        <w:t>implica e</w:t>
      </w:r>
      <w:r w:rsidR="00C65C54" w:rsidRPr="00CD542C">
        <w:rPr>
          <w:rFonts w:ascii="Times New Roman" w:hAnsi="Times New Roman"/>
          <w:sz w:val="28"/>
          <w:szCs w:val="28"/>
        </w:rPr>
        <w:t xml:space="preserve">l anuncio de un posible </w:t>
      </w:r>
      <w:r w:rsidR="00957455" w:rsidRPr="00CD542C">
        <w:rPr>
          <w:rFonts w:ascii="Times New Roman" w:hAnsi="Times New Roman"/>
          <w:sz w:val="28"/>
          <w:szCs w:val="28"/>
        </w:rPr>
        <w:t xml:space="preserve">riesgo </w:t>
      </w:r>
      <w:r w:rsidR="00C65C54" w:rsidRPr="00CD542C">
        <w:rPr>
          <w:rFonts w:ascii="Times New Roman" w:hAnsi="Times New Roman"/>
          <w:sz w:val="28"/>
          <w:szCs w:val="28"/>
        </w:rPr>
        <w:t>de una situación, acción o daño que genera miedo y angustia.</w:t>
      </w:r>
    </w:p>
    <w:p w:rsidR="000B169C" w:rsidRPr="00CD542C" w:rsidRDefault="000B169C" w:rsidP="00CD542C">
      <w:pPr>
        <w:spacing w:after="0" w:line="240" w:lineRule="auto"/>
        <w:jc w:val="both"/>
        <w:rPr>
          <w:rFonts w:ascii="Times New Roman" w:hAnsi="Times New Roman"/>
          <w:sz w:val="28"/>
          <w:szCs w:val="28"/>
        </w:rPr>
      </w:pPr>
    </w:p>
    <w:p w:rsidR="000B169C" w:rsidRPr="00CD542C" w:rsidRDefault="005D038B"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Como se advierte, el uso normal de dichos conceptos no genera ambigüedad o imprecisión en la descripción del </w:t>
      </w:r>
      <w:r w:rsidR="00D056B1" w:rsidRPr="00CD542C">
        <w:rPr>
          <w:rFonts w:ascii="Times New Roman" w:hAnsi="Times New Roman"/>
          <w:sz w:val="28"/>
          <w:szCs w:val="28"/>
        </w:rPr>
        <w:t>literal</w:t>
      </w:r>
      <w:r w:rsidRPr="00CD542C">
        <w:rPr>
          <w:rFonts w:ascii="Times New Roman" w:hAnsi="Times New Roman"/>
          <w:sz w:val="28"/>
          <w:szCs w:val="28"/>
        </w:rPr>
        <w:t xml:space="preserve"> que no permita saber</w:t>
      </w:r>
      <w:r w:rsidR="00C622A8" w:rsidRPr="00CD542C">
        <w:rPr>
          <w:rFonts w:ascii="Times New Roman" w:hAnsi="Times New Roman"/>
          <w:sz w:val="28"/>
          <w:szCs w:val="28"/>
        </w:rPr>
        <w:t xml:space="preserve"> inequívocamente</w:t>
      </w:r>
      <w:r w:rsidRPr="00CD542C">
        <w:rPr>
          <w:rFonts w:ascii="Times New Roman" w:hAnsi="Times New Roman"/>
          <w:sz w:val="28"/>
          <w:szCs w:val="28"/>
        </w:rPr>
        <w:t xml:space="preserve"> cuáles son los criterios que establecen el hecho que potencialmente configura la  circunstancia</w:t>
      </w:r>
      <w:r w:rsidR="00C622A8" w:rsidRPr="00CD542C">
        <w:rPr>
          <w:rFonts w:ascii="Times New Roman" w:hAnsi="Times New Roman"/>
          <w:sz w:val="28"/>
          <w:szCs w:val="28"/>
        </w:rPr>
        <w:t xml:space="preserve"> descrita en el mismo</w:t>
      </w:r>
      <w:r w:rsidRPr="00CD542C">
        <w:rPr>
          <w:rFonts w:ascii="Times New Roman" w:hAnsi="Times New Roman"/>
          <w:sz w:val="28"/>
          <w:szCs w:val="28"/>
        </w:rPr>
        <w:t xml:space="preserve">. </w:t>
      </w:r>
      <w:r w:rsidR="00DF494F" w:rsidRPr="00CD542C">
        <w:rPr>
          <w:rFonts w:ascii="Times New Roman" w:hAnsi="Times New Roman"/>
          <w:sz w:val="28"/>
          <w:szCs w:val="28"/>
        </w:rPr>
        <w:t>Es decir, qué es un antecedente, indicio o una amenaza como tal</w:t>
      </w:r>
      <w:r w:rsidR="00957455" w:rsidRPr="00CD542C">
        <w:rPr>
          <w:rFonts w:ascii="Times New Roman" w:hAnsi="Times New Roman"/>
          <w:sz w:val="28"/>
          <w:szCs w:val="28"/>
        </w:rPr>
        <w:t>es</w:t>
      </w:r>
      <w:r w:rsidR="00DF494F" w:rsidRPr="00CD542C">
        <w:rPr>
          <w:rFonts w:ascii="Times New Roman" w:hAnsi="Times New Roman"/>
          <w:sz w:val="28"/>
          <w:szCs w:val="28"/>
        </w:rPr>
        <w:t>.</w:t>
      </w:r>
    </w:p>
    <w:p w:rsidR="00105165" w:rsidRPr="00CD542C" w:rsidRDefault="00105165" w:rsidP="00CD542C">
      <w:pPr>
        <w:spacing w:after="0" w:line="240" w:lineRule="auto"/>
        <w:jc w:val="both"/>
        <w:rPr>
          <w:rFonts w:ascii="Times New Roman" w:hAnsi="Times New Roman"/>
          <w:sz w:val="28"/>
          <w:szCs w:val="28"/>
        </w:rPr>
      </w:pPr>
    </w:p>
    <w:p w:rsidR="00105165" w:rsidRPr="00CD542C" w:rsidRDefault="00957455" w:rsidP="00CD542C">
      <w:pPr>
        <w:spacing w:after="0" w:line="240" w:lineRule="auto"/>
        <w:jc w:val="both"/>
        <w:rPr>
          <w:rFonts w:ascii="Times New Roman" w:hAnsi="Times New Roman"/>
          <w:sz w:val="28"/>
          <w:szCs w:val="28"/>
        </w:rPr>
      </w:pPr>
      <w:r w:rsidRPr="00CD542C">
        <w:rPr>
          <w:rFonts w:ascii="Times New Roman" w:hAnsi="Times New Roman"/>
          <w:sz w:val="28"/>
          <w:szCs w:val="28"/>
        </w:rPr>
        <w:lastRenderedPageBreak/>
        <w:t>En efecto</w:t>
      </w:r>
      <w:r w:rsidR="00105165" w:rsidRPr="00CD542C">
        <w:rPr>
          <w:rFonts w:ascii="Times New Roman" w:hAnsi="Times New Roman"/>
          <w:sz w:val="28"/>
          <w:szCs w:val="28"/>
        </w:rPr>
        <w:t xml:space="preserve">, los antecedentes, indicios o amenazas sin una calificación adicional como la denuncia son criterios claros, precisos e inequívocos sobre </w:t>
      </w:r>
      <w:r w:rsidR="00C622A8" w:rsidRPr="00CD542C">
        <w:rPr>
          <w:rFonts w:ascii="Times New Roman" w:hAnsi="Times New Roman"/>
          <w:sz w:val="28"/>
          <w:szCs w:val="28"/>
        </w:rPr>
        <w:t>lo</w:t>
      </w:r>
      <w:r w:rsidR="00B777EF" w:rsidRPr="00CD542C">
        <w:rPr>
          <w:rFonts w:ascii="Times New Roman" w:hAnsi="Times New Roman"/>
          <w:sz w:val="28"/>
          <w:szCs w:val="28"/>
        </w:rPr>
        <w:t>s</w:t>
      </w:r>
      <w:r w:rsidR="00C622A8" w:rsidRPr="00CD542C">
        <w:rPr>
          <w:rFonts w:ascii="Times New Roman" w:hAnsi="Times New Roman"/>
          <w:sz w:val="28"/>
          <w:szCs w:val="28"/>
        </w:rPr>
        <w:t xml:space="preserve"> que</w:t>
      </w:r>
      <w:r w:rsidR="00B777EF" w:rsidRPr="00CD542C">
        <w:rPr>
          <w:rFonts w:ascii="Times New Roman" w:hAnsi="Times New Roman"/>
          <w:sz w:val="28"/>
          <w:szCs w:val="28"/>
        </w:rPr>
        <w:t xml:space="preserve"> se</w:t>
      </w:r>
      <w:r w:rsidR="00C622A8" w:rsidRPr="00CD542C">
        <w:rPr>
          <w:rFonts w:ascii="Times New Roman" w:hAnsi="Times New Roman"/>
          <w:sz w:val="28"/>
          <w:szCs w:val="28"/>
        </w:rPr>
        <w:t xml:space="preserve"> configura la circunstancia y el contexto</w:t>
      </w:r>
      <w:r w:rsidR="00721743" w:rsidRPr="00CD542C">
        <w:rPr>
          <w:rFonts w:ascii="Times New Roman" w:hAnsi="Times New Roman"/>
          <w:sz w:val="28"/>
          <w:szCs w:val="28"/>
        </w:rPr>
        <w:t xml:space="preserve"> de un posible delito</w:t>
      </w:r>
      <w:r w:rsidR="00C622A8" w:rsidRPr="00CD542C">
        <w:rPr>
          <w:rFonts w:ascii="Times New Roman" w:hAnsi="Times New Roman"/>
          <w:sz w:val="28"/>
          <w:szCs w:val="28"/>
        </w:rPr>
        <w:t>.</w:t>
      </w:r>
      <w:r w:rsidR="00E204C3" w:rsidRPr="00CD542C">
        <w:rPr>
          <w:rFonts w:ascii="Times New Roman" w:hAnsi="Times New Roman"/>
          <w:sz w:val="28"/>
          <w:szCs w:val="28"/>
        </w:rPr>
        <w:t xml:space="preserve"> </w:t>
      </w:r>
      <w:r w:rsidR="00105165" w:rsidRPr="00CD542C">
        <w:rPr>
          <w:rFonts w:ascii="Times New Roman" w:hAnsi="Times New Roman"/>
          <w:sz w:val="28"/>
          <w:szCs w:val="28"/>
        </w:rPr>
        <w:t>Estos</w:t>
      </w:r>
      <w:r w:rsidR="00721743" w:rsidRPr="00CD542C">
        <w:rPr>
          <w:rFonts w:ascii="Times New Roman" w:hAnsi="Times New Roman"/>
          <w:sz w:val="28"/>
          <w:szCs w:val="28"/>
        </w:rPr>
        <w:t xml:space="preserve"> conceptos</w:t>
      </w:r>
      <w:r w:rsidR="00105165" w:rsidRPr="00CD542C">
        <w:rPr>
          <w:rFonts w:ascii="Times New Roman" w:hAnsi="Times New Roman"/>
          <w:sz w:val="28"/>
          <w:szCs w:val="28"/>
        </w:rPr>
        <w:t xml:space="preserve"> no requieren de ninguna remisión normativa para ser comprendidos y se entienden con una valoración ordinaria de interpretación</w:t>
      </w:r>
      <w:r w:rsidR="008B35E2" w:rsidRPr="00CD542C">
        <w:rPr>
          <w:rFonts w:ascii="Times New Roman" w:hAnsi="Times New Roman"/>
          <w:sz w:val="28"/>
          <w:szCs w:val="28"/>
        </w:rPr>
        <w:t xml:space="preserve"> normativa y probatoria</w:t>
      </w:r>
      <w:r w:rsidR="00105165" w:rsidRPr="00CD542C">
        <w:rPr>
          <w:rFonts w:ascii="Times New Roman" w:hAnsi="Times New Roman"/>
          <w:sz w:val="28"/>
          <w:szCs w:val="28"/>
        </w:rPr>
        <w:t xml:space="preserve">. </w:t>
      </w:r>
      <w:r w:rsidR="00E204C3" w:rsidRPr="00CD542C">
        <w:rPr>
          <w:rFonts w:ascii="Times New Roman" w:hAnsi="Times New Roman"/>
          <w:sz w:val="28"/>
          <w:szCs w:val="28"/>
        </w:rPr>
        <w:t xml:space="preserve">Por lo tanto, </w:t>
      </w:r>
      <w:r w:rsidR="00721743" w:rsidRPr="00CD542C">
        <w:rPr>
          <w:rFonts w:ascii="Times New Roman" w:hAnsi="Times New Roman"/>
          <w:sz w:val="28"/>
          <w:szCs w:val="28"/>
        </w:rPr>
        <w:t xml:space="preserve">en este sentido la Corte considera que </w:t>
      </w:r>
      <w:r w:rsidR="00C622A8" w:rsidRPr="00CD542C">
        <w:rPr>
          <w:rFonts w:ascii="Times New Roman" w:hAnsi="Times New Roman"/>
          <w:sz w:val="28"/>
          <w:szCs w:val="28"/>
        </w:rPr>
        <w:t>no hay vulneración del principio de legalidad.</w:t>
      </w:r>
    </w:p>
    <w:p w:rsidR="00721743" w:rsidRPr="00CD542C" w:rsidRDefault="00721743" w:rsidP="00CD542C">
      <w:pPr>
        <w:spacing w:after="0" w:line="240" w:lineRule="auto"/>
        <w:jc w:val="both"/>
        <w:rPr>
          <w:rFonts w:ascii="Times New Roman" w:hAnsi="Times New Roman"/>
          <w:sz w:val="28"/>
          <w:szCs w:val="28"/>
        </w:rPr>
      </w:pPr>
    </w:p>
    <w:p w:rsidR="00721743"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5</w:t>
      </w:r>
      <w:r w:rsidR="00A273D0" w:rsidRPr="00CD542C">
        <w:rPr>
          <w:rFonts w:ascii="Times New Roman" w:hAnsi="Times New Roman"/>
          <w:sz w:val="28"/>
          <w:szCs w:val="28"/>
        </w:rPr>
        <w:t>2</w:t>
      </w:r>
      <w:r w:rsidR="00957455" w:rsidRPr="00CD542C">
        <w:rPr>
          <w:rFonts w:ascii="Times New Roman" w:hAnsi="Times New Roman"/>
          <w:sz w:val="28"/>
          <w:szCs w:val="28"/>
        </w:rPr>
        <w:t xml:space="preserve">. </w:t>
      </w:r>
      <w:r w:rsidR="00721743" w:rsidRPr="00CD542C">
        <w:rPr>
          <w:rFonts w:ascii="Times New Roman" w:hAnsi="Times New Roman"/>
          <w:sz w:val="28"/>
          <w:szCs w:val="28"/>
        </w:rPr>
        <w:t xml:space="preserve">De otra parte, respecto </w:t>
      </w:r>
      <w:r w:rsidR="00957455" w:rsidRPr="00CD542C">
        <w:rPr>
          <w:rFonts w:ascii="Times New Roman" w:hAnsi="Times New Roman"/>
          <w:sz w:val="28"/>
          <w:szCs w:val="28"/>
        </w:rPr>
        <w:t xml:space="preserve">a </w:t>
      </w:r>
      <w:r w:rsidR="00721743" w:rsidRPr="00CD542C">
        <w:rPr>
          <w:rFonts w:ascii="Times New Roman" w:hAnsi="Times New Roman"/>
          <w:sz w:val="28"/>
          <w:szCs w:val="28"/>
        </w:rPr>
        <w:t>la cuarta parte del inciso,</w:t>
      </w:r>
      <w:r w:rsidR="008B35E2" w:rsidRPr="00CD542C">
        <w:rPr>
          <w:rFonts w:ascii="Times New Roman" w:hAnsi="Times New Roman"/>
          <w:sz w:val="28"/>
          <w:szCs w:val="28"/>
        </w:rPr>
        <w:t xml:space="preserve"> es decir que ninguno de los antecedentes, indicios de</w:t>
      </w:r>
      <w:r w:rsidR="00155828" w:rsidRPr="00CD542C">
        <w:rPr>
          <w:rFonts w:ascii="Times New Roman" w:hAnsi="Times New Roman"/>
          <w:sz w:val="28"/>
          <w:szCs w:val="28"/>
        </w:rPr>
        <w:t xml:space="preserve"> cualquier tipo de</w:t>
      </w:r>
      <w:r w:rsidR="008B35E2" w:rsidRPr="00CD542C">
        <w:rPr>
          <w:rFonts w:ascii="Times New Roman" w:hAnsi="Times New Roman"/>
          <w:sz w:val="28"/>
          <w:szCs w:val="28"/>
        </w:rPr>
        <w:t xml:space="preserve"> violencia o su amenaza y la violencia de género </w:t>
      </w:r>
      <w:r w:rsidR="008B35E2" w:rsidRPr="00CD542C">
        <w:rPr>
          <w:rFonts w:ascii="Times New Roman" w:hAnsi="Times New Roman"/>
          <w:b/>
          <w:sz w:val="28"/>
          <w:szCs w:val="28"/>
        </w:rPr>
        <w:t>requieran</w:t>
      </w:r>
      <w:r w:rsidR="00721743" w:rsidRPr="00CD542C">
        <w:rPr>
          <w:rFonts w:ascii="Times New Roman" w:hAnsi="Times New Roman"/>
          <w:b/>
          <w:sz w:val="28"/>
          <w:szCs w:val="28"/>
        </w:rPr>
        <w:t xml:space="preserve"> de denuncia y el requisito de que las dos modalidades sean perpetradas por el sujeto activo en contra del sujeto </w:t>
      </w:r>
      <w:r w:rsidR="00915519">
        <w:rPr>
          <w:rFonts w:ascii="Times New Roman" w:hAnsi="Times New Roman"/>
          <w:b/>
          <w:sz w:val="28"/>
          <w:szCs w:val="28"/>
        </w:rPr>
        <w:t>p</w:t>
      </w:r>
      <w:r w:rsidR="00721743" w:rsidRPr="00CD542C">
        <w:rPr>
          <w:rFonts w:ascii="Times New Roman" w:hAnsi="Times New Roman"/>
          <w:b/>
          <w:sz w:val="28"/>
          <w:szCs w:val="28"/>
        </w:rPr>
        <w:t>a</w:t>
      </w:r>
      <w:r w:rsidR="00915519">
        <w:rPr>
          <w:rFonts w:ascii="Times New Roman" w:hAnsi="Times New Roman"/>
          <w:b/>
          <w:sz w:val="28"/>
          <w:szCs w:val="28"/>
        </w:rPr>
        <w:t>sivo</w:t>
      </w:r>
      <w:r w:rsidR="00721743" w:rsidRPr="00CD542C">
        <w:rPr>
          <w:rFonts w:ascii="Times New Roman" w:hAnsi="Times New Roman"/>
          <w:sz w:val="28"/>
          <w:szCs w:val="28"/>
        </w:rPr>
        <w:t>, tamp</w:t>
      </w:r>
      <w:r w:rsidR="003B59BB" w:rsidRPr="00CD542C">
        <w:rPr>
          <w:rFonts w:ascii="Times New Roman" w:hAnsi="Times New Roman"/>
          <w:sz w:val="28"/>
          <w:szCs w:val="28"/>
        </w:rPr>
        <w:t>oco se verifica una violación del</w:t>
      </w:r>
      <w:r w:rsidR="00721743" w:rsidRPr="00CD542C">
        <w:rPr>
          <w:rFonts w:ascii="Times New Roman" w:hAnsi="Times New Roman"/>
          <w:sz w:val="28"/>
          <w:szCs w:val="28"/>
        </w:rPr>
        <w:t xml:space="preserve"> principio de legalidad. Dichos conceptos</w:t>
      </w:r>
      <w:r w:rsidR="00957455" w:rsidRPr="00CD542C">
        <w:rPr>
          <w:rFonts w:ascii="Times New Roman" w:hAnsi="Times New Roman"/>
          <w:sz w:val="28"/>
          <w:szCs w:val="28"/>
        </w:rPr>
        <w:t xml:space="preserve"> también</w:t>
      </w:r>
      <w:r w:rsidR="00721743" w:rsidRPr="00CD542C">
        <w:rPr>
          <w:rFonts w:ascii="Times New Roman" w:hAnsi="Times New Roman"/>
          <w:sz w:val="28"/>
          <w:szCs w:val="28"/>
        </w:rPr>
        <w:t xml:space="preserve"> son claros y además sirven para dar especificidad</w:t>
      </w:r>
      <w:r w:rsidR="000D38D3" w:rsidRPr="00CD542C">
        <w:rPr>
          <w:rFonts w:ascii="Times New Roman" w:hAnsi="Times New Roman"/>
          <w:sz w:val="28"/>
          <w:szCs w:val="28"/>
        </w:rPr>
        <w:t xml:space="preserve"> a la conducta</w:t>
      </w:r>
      <w:r w:rsidR="00721743" w:rsidRPr="00CD542C">
        <w:rPr>
          <w:rFonts w:ascii="Times New Roman" w:hAnsi="Times New Roman"/>
          <w:sz w:val="28"/>
          <w:szCs w:val="28"/>
        </w:rPr>
        <w:t xml:space="preserve">. De una parte, la falta de denuncia </w:t>
      </w:r>
      <w:r w:rsidR="00957455" w:rsidRPr="00CD542C">
        <w:rPr>
          <w:rFonts w:ascii="Times New Roman" w:hAnsi="Times New Roman"/>
          <w:sz w:val="28"/>
          <w:szCs w:val="28"/>
        </w:rPr>
        <w:t xml:space="preserve">responde a </w:t>
      </w:r>
      <w:r w:rsidR="00721743" w:rsidRPr="00CD542C">
        <w:rPr>
          <w:rFonts w:ascii="Times New Roman" w:hAnsi="Times New Roman"/>
          <w:sz w:val="28"/>
          <w:szCs w:val="28"/>
        </w:rPr>
        <w:t>que existen hechos de violencia que en los contextos particulares de las mujeres no son denunciados y dicha circunstancia no puede ser exigible de una valoración contextual alrededor de un delito</w:t>
      </w:r>
      <w:r w:rsidR="00957455" w:rsidRPr="00CD542C">
        <w:rPr>
          <w:rFonts w:ascii="Times New Roman" w:hAnsi="Times New Roman"/>
          <w:sz w:val="28"/>
          <w:szCs w:val="28"/>
        </w:rPr>
        <w:t xml:space="preserve"> para que se predique inequívoca o precisa</w:t>
      </w:r>
      <w:r w:rsidR="00721743" w:rsidRPr="00CD542C">
        <w:rPr>
          <w:rFonts w:ascii="Times New Roman" w:hAnsi="Times New Roman"/>
          <w:sz w:val="28"/>
          <w:szCs w:val="28"/>
        </w:rPr>
        <w:t xml:space="preserve">. De otra parte, la exigencia de que las modalidades de violencia sean perpetradas por el sujeto activo en contra del pasivo, dan especificidad y precisión a todo el </w:t>
      </w:r>
      <w:r w:rsidR="00580C25" w:rsidRPr="00CD542C">
        <w:rPr>
          <w:rFonts w:ascii="Times New Roman" w:hAnsi="Times New Roman"/>
          <w:sz w:val="28"/>
          <w:szCs w:val="28"/>
        </w:rPr>
        <w:t>literal</w:t>
      </w:r>
      <w:r w:rsidR="00721743" w:rsidRPr="00CD542C">
        <w:rPr>
          <w:rFonts w:ascii="Times New Roman" w:hAnsi="Times New Roman"/>
          <w:sz w:val="28"/>
          <w:szCs w:val="28"/>
        </w:rPr>
        <w:t>, pues sitúan de forma clara la conducta en la relación entre los dos</w:t>
      </w:r>
      <w:r w:rsidR="009A1FE7" w:rsidRPr="00CD542C">
        <w:rPr>
          <w:rFonts w:ascii="Times New Roman" w:hAnsi="Times New Roman"/>
          <w:sz w:val="28"/>
          <w:szCs w:val="28"/>
        </w:rPr>
        <w:t>, lo que tiene sentido, pues lo que se busca establecer es si existió una relación de subordinación, entre otras, que permita e</w:t>
      </w:r>
      <w:r w:rsidR="00470BB4" w:rsidRPr="00CD542C">
        <w:rPr>
          <w:rFonts w:ascii="Times New Roman" w:hAnsi="Times New Roman"/>
          <w:sz w:val="28"/>
          <w:szCs w:val="28"/>
        </w:rPr>
        <w:t>n ese caso concreto</w:t>
      </w:r>
      <w:r w:rsidR="00957455" w:rsidRPr="00CD542C">
        <w:rPr>
          <w:rFonts w:ascii="Times New Roman" w:hAnsi="Times New Roman"/>
          <w:sz w:val="28"/>
          <w:szCs w:val="28"/>
        </w:rPr>
        <w:t xml:space="preserve"> evidenciar</w:t>
      </w:r>
      <w:r w:rsidR="009A1FE7" w:rsidRPr="00CD542C">
        <w:rPr>
          <w:rFonts w:ascii="Times New Roman" w:hAnsi="Times New Roman"/>
          <w:sz w:val="28"/>
          <w:szCs w:val="28"/>
        </w:rPr>
        <w:t xml:space="preserve"> una </w:t>
      </w:r>
      <w:r w:rsidR="00957455" w:rsidRPr="00CD542C">
        <w:rPr>
          <w:rFonts w:ascii="Times New Roman" w:hAnsi="Times New Roman"/>
          <w:sz w:val="28"/>
          <w:szCs w:val="28"/>
        </w:rPr>
        <w:t>discriminación</w:t>
      </w:r>
      <w:r w:rsidR="00B777EF" w:rsidRPr="00CD542C">
        <w:rPr>
          <w:rFonts w:ascii="Times New Roman" w:hAnsi="Times New Roman"/>
          <w:sz w:val="28"/>
          <w:szCs w:val="28"/>
        </w:rPr>
        <w:t xml:space="preserve"> particular hacia</w:t>
      </w:r>
      <w:r w:rsidR="009A1FE7" w:rsidRPr="00CD542C">
        <w:rPr>
          <w:rFonts w:ascii="Times New Roman" w:hAnsi="Times New Roman"/>
          <w:sz w:val="28"/>
          <w:szCs w:val="28"/>
        </w:rPr>
        <w:t xml:space="preserve"> la mujer por el hecho de se</w:t>
      </w:r>
      <w:r w:rsidR="00580C25" w:rsidRPr="00CD542C">
        <w:rPr>
          <w:rFonts w:ascii="Times New Roman" w:hAnsi="Times New Roman"/>
          <w:sz w:val="28"/>
          <w:szCs w:val="28"/>
        </w:rPr>
        <w:t>rlo o por motivos de identidad</w:t>
      </w:r>
      <w:r w:rsidR="00470BB4" w:rsidRPr="00CD542C">
        <w:rPr>
          <w:rFonts w:ascii="Times New Roman" w:hAnsi="Times New Roman"/>
          <w:sz w:val="28"/>
          <w:szCs w:val="28"/>
        </w:rPr>
        <w:t xml:space="preserve"> de género</w:t>
      </w:r>
      <w:r w:rsidR="00580C25" w:rsidRPr="00CD542C">
        <w:rPr>
          <w:rFonts w:ascii="Times New Roman" w:hAnsi="Times New Roman"/>
          <w:sz w:val="28"/>
          <w:szCs w:val="28"/>
        </w:rPr>
        <w:t xml:space="preserve">. </w:t>
      </w:r>
      <w:r w:rsidR="00957455" w:rsidRPr="00CD542C">
        <w:rPr>
          <w:rFonts w:ascii="Times New Roman" w:hAnsi="Times New Roman"/>
          <w:sz w:val="28"/>
          <w:szCs w:val="28"/>
        </w:rPr>
        <w:t xml:space="preserve">Así, estos conceptos son precisos y dotan </w:t>
      </w:r>
      <w:r w:rsidR="00470BB4" w:rsidRPr="00CD542C">
        <w:rPr>
          <w:rFonts w:ascii="Times New Roman" w:hAnsi="Times New Roman"/>
          <w:sz w:val="28"/>
          <w:szCs w:val="28"/>
        </w:rPr>
        <w:t>de características inequívocas a</w:t>
      </w:r>
      <w:r w:rsidR="005338F2" w:rsidRPr="00CD542C">
        <w:rPr>
          <w:rFonts w:ascii="Times New Roman" w:hAnsi="Times New Roman"/>
          <w:sz w:val="28"/>
          <w:szCs w:val="28"/>
        </w:rPr>
        <w:t xml:space="preserve"> la conducta típica</w:t>
      </w:r>
      <w:r w:rsidR="00957455" w:rsidRPr="00CD542C">
        <w:rPr>
          <w:rFonts w:ascii="Times New Roman" w:hAnsi="Times New Roman"/>
          <w:sz w:val="28"/>
          <w:szCs w:val="28"/>
        </w:rPr>
        <w:t>.</w:t>
      </w:r>
      <w:r w:rsidR="00721743" w:rsidRPr="00CD542C">
        <w:rPr>
          <w:rFonts w:ascii="Times New Roman" w:hAnsi="Times New Roman"/>
          <w:sz w:val="28"/>
          <w:szCs w:val="28"/>
        </w:rPr>
        <w:t xml:space="preserve"> </w:t>
      </w:r>
    </w:p>
    <w:p w:rsidR="000B169C" w:rsidRPr="00CD542C" w:rsidRDefault="000B169C" w:rsidP="00CD542C">
      <w:pPr>
        <w:spacing w:after="0" w:line="240" w:lineRule="auto"/>
        <w:jc w:val="both"/>
        <w:rPr>
          <w:rFonts w:ascii="Times New Roman" w:hAnsi="Times New Roman"/>
          <w:sz w:val="28"/>
          <w:szCs w:val="28"/>
        </w:rPr>
      </w:pPr>
    </w:p>
    <w:p w:rsidR="00580C25"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5</w:t>
      </w:r>
      <w:r w:rsidR="00A273D0" w:rsidRPr="00CD542C">
        <w:rPr>
          <w:rFonts w:ascii="Times New Roman" w:hAnsi="Times New Roman"/>
          <w:sz w:val="28"/>
          <w:szCs w:val="28"/>
        </w:rPr>
        <w:t>3</w:t>
      </w:r>
      <w:r w:rsidR="00957455" w:rsidRPr="00CD542C">
        <w:rPr>
          <w:rFonts w:ascii="Times New Roman" w:hAnsi="Times New Roman"/>
          <w:sz w:val="28"/>
          <w:szCs w:val="28"/>
        </w:rPr>
        <w:t xml:space="preserve">. </w:t>
      </w:r>
      <w:r w:rsidR="009A1FE7" w:rsidRPr="00CD542C">
        <w:rPr>
          <w:rFonts w:ascii="Times New Roman" w:hAnsi="Times New Roman"/>
          <w:sz w:val="28"/>
          <w:szCs w:val="28"/>
        </w:rPr>
        <w:t>Adicionalmente</w:t>
      </w:r>
      <w:r w:rsidR="00C622A8" w:rsidRPr="00CD542C">
        <w:rPr>
          <w:rFonts w:ascii="Times New Roman" w:hAnsi="Times New Roman"/>
          <w:sz w:val="28"/>
          <w:szCs w:val="28"/>
        </w:rPr>
        <w:t>,</w:t>
      </w:r>
      <w:r w:rsidR="00957455" w:rsidRPr="00CD542C">
        <w:rPr>
          <w:rFonts w:ascii="Times New Roman" w:hAnsi="Times New Roman"/>
          <w:sz w:val="28"/>
          <w:szCs w:val="28"/>
        </w:rPr>
        <w:t xml:space="preserve"> es pertinente reiterar</w:t>
      </w:r>
      <w:r w:rsidR="009A1FE7" w:rsidRPr="00CD542C">
        <w:rPr>
          <w:rFonts w:ascii="Times New Roman" w:hAnsi="Times New Roman"/>
          <w:sz w:val="28"/>
          <w:szCs w:val="28"/>
        </w:rPr>
        <w:t xml:space="preserve"> que</w:t>
      </w:r>
      <w:r w:rsidR="00C622A8" w:rsidRPr="00CD542C">
        <w:rPr>
          <w:rFonts w:ascii="Times New Roman" w:hAnsi="Times New Roman"/>
          <w:sz w:val="28"/>
          <w:szCs w:val="28"/>
        </w:rPr>
        <w:t xml:space="preserve"> los elementos contextuales son particularmente relevantes alrededor del feminic</w:t>
      </w:r>
      <w:r w:rsidR="005338F2" w:rsidRPr="00CD542C">
        <w:rPr>
          <w:rFonts w:ascii="Times New Roman" w:hAnsi="Times New Roman"/>
          <w:sz w:val="28"/>
          <w:szCs w:val="28"/>
        </w:rPr>
        <w:t>idio, pues muchas veces son aquellos</w:t>
      </w:r>
      <w:r w:rsidR="00C622A8" w:rsidRPr="00CD542C">
        <w:rPr>
          <w:rFonts w:ascii="Times New Roman" w:hAnsi="Times New Roman"/>
          <w:sz w:val="28"/>
          <w:szCs w:val="28"/>
        </w:rPr>
        <w:t xml:space="preserve"> los que permiten establecer la intención del tipo</w:t>
      </w:r>
      <w:r w:rsidR="00470BB4" w:rsidRPr="00CD542C">
        <w:rPr>
          <w:rFonts w:ascii="Times New Roman" w:hAnsi="Times New Roman"/>
          <w:sz w:val="28"/>
          <w:szCs w:val="28"/>
        </w:rPr>
        <w:t xml:space="preserve"> y suponen la integración de una perspectiva de género necesaria en la valoración de esta conducta</w:t>
      </w:r>
      <w:r w:rsidR="00E10478" w:rsidRPr="00CD542C">
        <w:rPr>
          <w:rFonts w:ascii="Times New Roman" w:hAnsi="Times New Roman"/>
          <w:sz w:val="28"/>
          <w:szCs w:val="28"/>
        </w:rPr>
        <w:t>,</w:t>
      </w:r>
      <w:r w:rsidR="00470BB4" w:rsidRPr="00CD542C">
        <w:rPr>
          <w:rFonts w:ascii="Times New Roman" w:hAnsi="Times New Roman"/>
          <w:sz w:val="28"/>
          <w:szCs w:val="28"/>
        </w:rPr>
        <w:t xml:space="preserve"> como una forma de violencia contra la mujer que atiende a condiciones de discriminación estructurales</w:t>
      </w:r>
      <w:r w:rsidR="00C622A8" w:rsidRPr="00CD542C">
        <w:rPr>
          <w:rFonts w:ascii="Times New Roman" w:hAnsi="Times New Roman"/>
          <w:sz w:val="28"/>
          <w:szCs w:val="28"/>
        </w:rPr>
        <w:t xml:space="preserve">. Por ejemplo, el Protocolo Latinoamericano </w:t>
      </w:r>
      <w:r w:rsidR="0093090C" w:rsidRPr="00CD542C">
        <w:rPr>
          <w:rFonts w:ascii="Times New Roman" w:hAnsi="Times New Roman"/>
          <w:sz w:val="28"/>
          <w:szCs w:val="28"/>
        </w:rPr>
        <w:t xml:space="preserve">al que se hizo referencia </w:t>
      </w:r>
      <w:r w:rsidR="00C622A8" w:rsidRPr="00CD542C">
        <w:rPr>
          <w:rFonts w:ascii="Times New Roman" w:hAnsi="Times New Roman"/>
          <w:sz w:val="28"/>
          <w:szCs w:val="28"/>
        </w:rPr>
        <w:t>indica que para poder identificar si existieron o no razones de género es necesario que el operador judicial tenga en cuenta</w:t>
      </w:r>
      <w:r w:rsidR="0093090C" w:rsidRPr="00CD542C">
        <w:rPr>
          <w:rFonts w:ascii="Times New Roman" w:hAnsi="Times New Roman"/>
          <w:sz w:val="28"/>
          <w:szCs w:val="28"/>
        </w:rPr>
        <w:t xml:space="preserve"> el</w:t>
      </w:r>
      <w:r w:rsidR="00C622A8" w:rsidRPr="00CD542C">
        <w:rPr>
          <w:rFonts w:ascii="Times New Roman" w:hAnsi="Times New Roman"/>
          <w:sz w:val="28"/>
          <w:szCs w:val="28"/>
        </w:rPr>
        <w:t xml:space="preserve"> “</w:t>
      </w:r>
      <w:r w:rsidR="00C622A8" w:rsidRPr="00CD542C">
        <w:rPr>
          <w:rFonts w:ascii="Times New Roman" w:hAnsi="Times New Roman"/>
          <w:i/>
          <w:iCs/>
          <w:sz w:val="28"/>
          <w:szCs w:val="28"/>
        </w:rPr>
        <w:t>contexto de la muerte, las circunstancias de la muerte y la disposición del cuerpo, los antecedentes de violencia entre la víctima y el victimario, modus operandi y del tipo de violaciones usados ante y post mortem, las relaciones familiares, de intimidad, interpersonales, comunitarias, laborales, educativas, o sanitarias que vinculan a la víctima y el/los victimario/s, la situación de riesgo o vulnerabilidad de la víctima al momento de la muerte, las desigualdades de poder existentes entre la víctima y el/los victimario/s</w:t>
      </w:r>
      <w:r w:rsidR="00C622A8" w:rsidRPr="00CD542C">
        <w:rPr>
          <w:rFonts w:ascii="Times New Roman" w:hAnsi="Times New Roman"/>
          <w:sz w:val="28"/>
          <w:szCs w:val="28"/>
        </w:rPr>
        <w:t>”</w:t>
      </w:r>
      <w:r w:rsidR="008D6AC8" w:rsidRPr="00CD542C">
        <w:rPr>
          <w:rStyle w:val="Refdenotaalpie"/>
          <w:rFonts w:ascii="Times New Roman" w:hAnsi="Times New Roman"/>
          <w:sz w:val="28"/>
          <w:szCs w:val="28"/>
        </w:rPr>
        <w:t xml:space="preserve"> </w:t>
      </w:r>
      <w:r w:rsidR="008D6AC8" w:rsidRPr="00CD542C">
        <w:rPr>
          <w:rStyle w:val="Refdenotaalpie"/>
          <w:rFonts w:ascii="Times New Roman" w:hAnsi="Times New Roman"/>
          <w:sz w:val="28"/>
          <w:szCs w:val="28"/>
        </w:rPr>
        <w:footnoteReference w:id="113"/>
      </w:r>
      <w:r w:rsidR="00C622A8" w:rsidRPr="00CD542C">
        <w:rPr>
          <w:rFonts w:ascii="Times New Roman" w:hAnsi="Times New Roman"/>
          <w:sz w:val="28"/>
          <w:szCs w:val="28"/>
        </w:rPr>
        <w:t xml:space="preserve">. </w:t>
      </w:r>
    </w:p>
    <w:p w:rsidR="007D4B96" w:rsidRPr="00CD542C" w:rsidRDefault="007D4B96" w:rsidP="00CD542C">
      <w:pPr>
        <w:spacing w:after="0" w:line="240" w:lineRule="auto"/>
        <w:jc w:val="both"/>
        <w:rPr>
          <w:rFonts w:ascii="Times New Roman" w:hAnsi="Times New Roman"/>
          <w:sz w:val="28"/>
          <w:szCs w:val="28"/>
        </w:rPr>
      </w:pPr>
    </w:p>
    <w:p w:rsidR="00652909" w:rsidRPr="00CD542C" w:rsidRDefault="003B59BB" w:rsidP="00CD542C">
      <w:pPr>
        <w:spacing w:after="0" w:line="240" w:lineRule="auto"/>
        <w:jc w:val="both"/>
        <w:rPr>
          <w:rFonts w:ascii="Times New Roman" w:hAnsi="Times New Roman"/>
          <w:sz w:val="28"/>
          <w:szCs w:val="28"/>
        </w:rPr>
      </w:pPr>
      <w:r w:rsidRPr="00CD542C">
        <w:rPr>
          <w:rFonts w:ascii="Times New Roman" w:hAnsi="Times New Roman"/>
          <w:sz w:val="28"/>
          <w:szCs w:val="28"/>
        </w:rPr>
        <w:lastRenderedPageBreak/>
        <w:t>Lo anterior</w:t>
      </w:r>
      <w:r w:rsidR="007D4B96" w:rsidRPr="00CD542C">
        <w:rPr>
          <w:rFonts w:ascii="Times New Roman" w:hAnsi="Times New Roman"/>
          <w:sz w:val="28"/>
          <w:szCs w:val="28"/>
        </w:rPr>
        <w:t xml:space="preserve"> no quiere decir que las circunstancias contextuales</w:t>
      </w:r>
      <w:r w:rsidRPr="00CD542C">
        <w:rPr>
          <w:rFonts w:ascii="Times New Roman" w:hAnsi="Times New Roman"/>
          <w:sz w:val="28"/>
          <w:szCs w:val="28"/>
        </w:rPr>
        <w:t xml:space="preserve"> tipificadas</w:t>
      </w:r>
      <w:r w:rsidR="007D4B96" w:rsidRPr="00CD542C">
        <w:rPr>
          <w:rFonts w:ascii="Times New Roman" w:hAnsi="Times New Roman"/>
          <w:sz w:val="28"/>
          <w:szCs w:val="28"/>
        </w:rPr>
        <w:t xml:space="preserve"> hayan sido determinadas como un</w:t>
      </w:r>
      <w:r w:rsidR="00783EE0" w:rsidRPr="00CD542C">
        <w:rPr>
          <w:rFonts w:ascii="Times New Roman" w:hAnsi="Times New Roman"/>
          <w:sz w:val="28"/>
          <w:szCs w:val="28"/>
        </w:rPr>
        <w:t xml:space="preserve"> ingrediente normativo del tipo</w:t>
      </w:r>
      <w:r w:rsidR="002C280F" w:rsidRPr="00CD542C">
        <w:rPr>
          <w:rFonts w:ascii="Times New Roman" w:hAnsi="Times New Roman"/>
          <w:sz w:val="28"/>
          <w:szCs w:val="28"/>
        </w:rPr>
        <w:t>,</w:t>
      </w:r>
      <w:r w:rsidR="00783EE0" w:rsidRPr="00CD542C">
        <w:rPr>
          <w:rFonts w:ascii="Times New Roman" w:hAnsi="Times New Roman"/>
          <w:sz w:val="28"/>
          <w:szCs w:val="28"/>
        </w:rPr>
        <w:t xml:space="preserve"> ya que</w:t>
      </w:r>
      <w:r w:rsidR="00B777EF" w:rsidRPr="00CD542C">
        <w:rPr>
          <w:rFonts w:ascii="Times New Roman" w:hAnsi="Times New Roman"/>
          <w:sz w:val="28"/>
          <w:szCs w:val="28"/>
        </w:rPr>
        <w:t xml:space="preserve"> la verificación de un indicio,</w:t>
      </w:r>
      <w:r w:rsidR="00783EE0" w:rsidRPr="00CD542C">
        <w:rPr>
          <w:rFonts w:ascii="Times New Roman" w:hAnsi="Times New Roman"/>
          <w:sz w:val="28"/>
          <w:szCs w:val="28"/>
        </w:rPr>
        <w:t xml:space="preserve"> un antecedente</w:t>
      </w:r>
      <w:r w:rsidR="00B777EF" w:rsidRPr="00CD542C">
        <w:rPr>
          <w:rFonts w:ascii="Times New Roman" w:hAnsi="Times New Roman"/>
          <w:sz w:val="28"/>
          <w:szCs w:val="28"/>
        </w:rPr>
        <w:t xml:space="preserve"> o una amenaza</w:t>
      </w:r>
      <w:r w:rsidR="00783EE0" w:rsidRPr="00CD542C">
        <w:rPr>
          <w:rFonts w:ascii="Times New Roman" w:hAnsi="Times New Roman"/>
          <w:sz w:val="28"/>
          <w:szCs w:val="28"/>
        </w:rPr>
        <w:t xml:space="preserve"> no responde a un</w:t>
      </w:r>
      <w:r w:rsidR="00652909" w:rsidRPr="00CD542C">
        <w:rPr>
          <w:rFonts w:ascii="Times New Roman" w:hAnsi="Times New Roman"/>
          <w:sz w:val="28"/>
          <w:szCs w:val="28"/>
        </w:rPr>
        <w:t>a remisión normativa determinada ni determinable</w:t>
      </w:r>
      <w:r w:rsidR="00783EE0" w:rsidRPr="00CD542C">
        <w:rPr>
          <w:rFonts w:ascii="Times New Roman" w:hAnsi="Times New Roman"/>
          <w:sz w:val="28"/>
          <w:szCs w:val="28"/>
        </w:rPr>
        <w:t xml:space="preserve">. </w:t>
      </w:r>
      <w:r w:rsidR="002C280F" w:rsidRPr="00CD542C">
        <w:rPr>
          <w:rFonts w:ascii="Times New Roman" w:hAnsi="Times New Roman"/>
          <w:sz w:val="28"/>
          <w:szCs w:val="28"/>
        </w:rPr>
        <w:t>Como se advirtió</w:t>
      </w:r>
      <w:r w:rsidR="0018303A" w:rsidRPr="00CD542C">
        <w:rPr>
          <w:rFonts w:ascii="Times New Roman" w:hAnsi="Times New Roman"/>
          <w:sz w:val="28"/>
          <w:szCs w:val="28"/>
        </w:rPr>
        <w:t>,</w:t>
      </w:r>
      <w:r w:rsidR="002C280F" w:rsidRPr="00CD542C">
        <w:rPr>
          <w:rFonts w:ascii="Times New Roman" w:hAnsi="Times New Roman"/>
          <w:sz w:val="28"/>
          <w:szCs w:val="28"/>
        </w:rPr>
        <w:t xml:space="preserve"> se trata de elementos descriptivos del tipo, como aquellas circunstancias objetivas, anteriores o concomitantes</w:t>
      </w:r>
      <w:r w:rsidR="00941505" w:rsidRPr="00CD542C">
        <w:rPr>
          <w:rFonts w:ascii="Times New Roman" w:hAnsi="Times New Roman"/>
          <w:sz w:val="28"/>
          <w:szCs w:val="28"/>
        </w:rPr>
        <w:t>,</w:t>
      </w:r>
      <w:r w:rsidR="002C280F" w:rsidRPr="00CD542C">
        <w:rPr>
          <w:rFonts w:ascii="Times New Roman" w:hAnsi="Times New Roman"/>
          <w:sz w:val="28"/>
          <w:szCs w:val="28"/>
        </w:rPr>
        <w:t xml:space="preserve"> con la capacidad de configurar el delito, las cuales deben ser valoradas a la luz del contexto mismo de la violencia de género. Así, s</w:t>
      </w:r>
      <w:r w:rsidR="00783EE0" w:rsidRPr="00CD542C">
        <w:rPr>
          <w:rFonts w:ascii="Times New Roman" w:hAnsi="Times New Roman"/>
          <w:sz w:val="28"/>
          <w:szCs w:val="28"/>
        </w:rPr>
        <w:t>u verificación es objetiva</w:t>
      </w:r>
      <w:r w:rsidR="00A62F30" w:rsidRPr="00CD542C">
        <w:rPr>
          <w:rFonts w:ascii="Times New Roman" w:hAnsi="Times New Roman"/>
          <w:sz w:val="28"/>
          <w:szCs w:val="28"/>
        </w:rPr>
        <w:t>,</w:t>
      </w:r>
      <w:r w:rsidR="00FB1B96" w:rsidRPr="00CD542C">
        <w:rPr>
          <w:rFonts w:ascii="Times New Roman" w:hAnsi="Times New Roman"/>
          <w:sz w:val="28"/>
          <w:szCs w:val="28"/>
        </w:rPr>
        <w:t xml:space="preserve"> pues son expresiones del supuesto </w:t>
      </w:r>
      <w:r w:rsidR="00A62F30" w:rsidRPr="00CD542C">
        <w:rPr>
          <w:rFonts w:ascii="Times New Roman" w:hAnsi="Times New Roman"/>
          <w:sz w:val="28"/>
          <w:szCs w:val="28"/>
        </w:rPr>
        <w:t xml:space="preserve">delictivo </w:t>
      </w:r>
      <w:r w:rsidR="00FB1B96" w:rsidRPr="00CD542C">
        <w:rPr>
          <w:rFonts w:ascii="Times New Roman" w:hAnsi="Times New Roman"/>
          <w:sz w:val="28"/>
          <w:szCs w:val="28"/>
        </w:rPr>
        <w:t xml:space="preserve">que son perceptibles por la simple actividad del conocimiento, </w:t>
      </w:r>
      <w:r w:rsidR="00A62F30" w:rsidRPr="00CD542C">
        <w:rPr>
          <w:rFonts w:ascii="Times New Roman" w:hAnsi="Times New Roman"/>
          <w:sz w:val="28"/>
          <w:szCs w:val="28"/>
        </w:rPr>
        <w:t>ya</w:t>
      </w:r>
      <w:r w:rsidR="00783EE0" w:rsidRPr="00CD542C">
        <w:rPr>
          <w:rFonts w:ascii="Times New Roman" w:hAnsi="Times New Roman"/>
          <w:sz w:val="28"/>
          <w:szCs w:val="28"/>
        </w:rPr>
        <w:t xml:space="preserve"> que no hay du</w:t>
      </w:r>
      <w:r w:rsidR="00B777EF" w:rsidRPr="00CD542C">
        <w:rPr>
          <w:rFonts w:ascii="Times New Roman" w:hAnsi="Times New Roman"/>
          <w:sz w:val="28"/>
          <w:szCs w:val="28"/>
        </w:rPr>
        <w:t>da acerca de qué es un indicio,</w:t>
      </w:r>
      <w:r w:rsidR="00783EE0" w:rsidRPr="00CD542C">
        <w:rPr>
          <w:rFonts w:ascii="Times New Roman" w:hAnsi="Times New Roman"/>
          <w:sz w:val="28"/>
          <w:szCs w:val="28"/>
        </w:rPr>
        <w:t xml:space="preserve"> un antecedente</w:t>
      </w:r>
      <w:r w:rsidR="005E3BE9" w:rsidRPr="00CD542C">
        <w:rPr>
          <w:rFonts w:ascii="Times New Roman" w:hAnsi="Times New Roman"/>
          <w:sz w:val="28"/>
          <w:szCs w:val="28"/>
        </w:rPr>
        <w:t xml:space="preserve"> </w:t>
      </w:r>
      <w:r w:rsidR="00B777EF" w:rsidRPr="00CD542C">
        <w:rPr>
          <w:rFonts w:ascii="Times New Roman" w:hAnsi="Times New Roman"/>
          <w:sz w:val="28"/>
          <w:szCs w:val="28"/>
        </w:rPr>
        <w:t xml:space="preserve">o una amenaza </w:t>
      </w:r>
      <w:r w:rsidR="005E3BE9" w:rsidRPr="00CD542C">
        <w:rPr>
          <w:rFonts w:ascii="Times New Roman" w:hAnsi="Times New Roman"/>
          <w:sz w:val="28"/>
          <w:szCs w:val="28"/>
        </w:rPr>
        <w:t>y si sucedió</w:t>
      </w:r>
      <w:r w:rsidR="00FF3A59" w:rsidRPr="00CD542C">
        <w:rPr>
          <w:rFonts w:ascii="Times New Roman" w:hAnsi="Times New Roman"/>
          <w:sz w:val="28"/>
          <w:szCs w:val="28"/>
        </w:rPr>
        <w:t xml:space="preserve"> o no</w:t>
      </w:r>
      <w:r w:rsidR="00783EE0" w:rsidRPr="00CD542C">
        <w:rPr>
          <w:rFonts w:ascii="Times New Roman" w:hAnsi="Times New Roman"/>
          <w:sz w:val="28"/>
          <w:szCs w:val="28"/>
        </w:rPr>
        <w:t xml:space="preserve">. </w:t>
      </w:r>
    </w:p>
    <w:p w:rsidR="00652909" w:rsidRPr="00CD542C" w:rsidRDefault="00652909" w:rsidP="00CD542C">
      <w:pPr>
        <w:spacing w:after="0" w:line="240" w:lineRule="auto"/>
        <w:jc w:val="both"/>
        <w:rPr>
          <w:rFonts w:ascii="Times New Roman" w:hAnsi="Times New Roman"/>
          <w:sz w:val="28"/>
          <w:szCs w:val="28"/>
        </w:rPr>
      </w:pPr>
    </w:p>
    <w:p w:rsidR="00561A9E" w:rsidRPr="00CD542C" w:rsidRDefault="00FB1B96" w:rsidP="00CD542C">
      <w:pPr>
        <w:spacing w:after="0" w:line="240" w:lineRule="auto"/>
        <w:jc w:val="both"/>
        <w:rPr>
          <w:rFonts w:ascii="Times New Roman" w:hAnsi="Times New Roman"/>
          <w:sz w:val="28"/>
          <w:szCs w:val="28"/>
        </w:rPr>
      </w:pPr>
      <w:r w:rsidRPr="00CD542C">
        <w:rPr>
          <w:rFonts w:ascii="Times New Roman" w:hAnsi="Times New Roman"/>
          <w:sz w:val="28"/>
          <w:szCs w:val="28"/>
        </w:rPr>
        <w:t>De otra parte, tampoco</w:t>
      </w:r>
      <w:r w:rsidR="00E737FB" w:rsidRPr="00CD542C">
        <w:rPr>
          <w:rFonts w:ascii="Times New Roman" w:hAnsi="Times New Roman"/>
          <w:sz w:val="28"/>
          <w:szCs w:val="28"/>
        </w:rPr>
        <w:t xml:space="preserve"> se trata de considerar el contexto</w:t>
      </w:r>
      <w:r w:rsidR="005E3BE9" w:rsidRPr="00CD542C">
        <w:rPr>
          <w:rFonts w:ascii="Times New Roman" w:hAnsi="Times New Roman"/>
          <w:sz w:val="28"/>
          <w:szCs w:val="28"/>
        </w:rPr>
        <w:t xml:space="preserve"> </w:t>
      </w:r>
      <w:r w:rsidR="00E737FB" w:rsidRPr="00CD542C">
        <w:rPr>
          <w:rFonts w:ascii="Times New Roman" w:hAnsi="Times New Roman"/>
          <w:sz w:val="28"/>
          <w:szCs w:val="28"/>
        </w:rPr>
        <w:t xml:space="preserve">como una </w:t>
      </w:r>
      <w:r w:rsidR="007D4B96" w:rsidRPr="00CD542C">
        <w:rPr>
          <w:rFonts w:ascii="Times New Roman" w:hAnsi="Times New Roman"/>
          <w:sz w:val="28"/>
          <w:szCs w:val="28"/>
        </w:rPr>
        <w:t>prueba autónoma</w:t>
      </w:r>
      <w:r w:rsidR="00E737FB" w:rsidRPr="00CD542C">
        <w:rPr>
          <w:rFonts w:ascii="Times New Roman" w:hAnsi="Times New Roman"/>
          <w:sz w:val="28"/>
          <w:szCs w:val="28"/>
        </w:rPr>
        <w:t>, sino</w:t>
      </w:r>
      <w:r w:rsidR="00941505" w:rsidRPr="00CD542C">
        <w:rPr>
          <w:rFonts w:ascii="Times New Roman" w:hAnsi="Times New Roman"/>
          <w:sz w:val="28"/>
          <w:szCs w:val="28"/>
        </w:rPr>
        <w:t xml:space="preserve"> de valorar</w:t>
      </w:r>
      <w:r w:rsidR="00B777EF" w:rsidRPr="00CD542C">
        <w:rPr>
          <w:rFonts w:ascii="Times New Roman" w:hAnsi="Times New Roman"/>
          <w:sz w:val="28"/>
          <w:szCs w:val="28"/>
        </w:rPr>
        <w:t xml:space="preserve"> </w:t>
      </w:r>
      <w:r w:rsidR="00067B62" w:rsidRPr="00CD542C">
        <w:rPr>
          <w:rFonts w:ascii="Times New Roman" w:hAnsi="Times New Roman"/>
          <w:sz w:val="28"/>
          <w:szCs w:val="28"/>
        </w:rPr>
        <w:t>esos hechos</w:t>
      </w:r>
      <w:r w:rsidR="00A62F30" w:rsidRPr="00CD542C">
        <w:rPr>
          <w:rFonts w:ascii="Times New Roman" w:hAnsi="Times New Roman"/>
          <w:sz w:val="28"/>
          <w:szCs w:val="28"/>
        </w:rPr>
        <w:t xml:space="preserve"> </w:t>
      </w:r>
      <w:r w:rsidR="002C280F" w:rsidRPr="00CD542C">
        <w:rPr>
          <w:rFonts w:ascii="Times New Roman" w:hAnsi="Times New Roman"/>
          <w:sz w:val="28"/>
          <w:szCs w:val="28"/>
        </w:rPr>
        <w:t>como</w:t>
      </w:r>
      <w:r w:rsidR="00B777EF" w:rsidRPr="00CD542C">
        <w:rPr>
          <w:rFonts w:ascii="Times New Roman" w:hAnsi="Times New Roman"/>
          <w:sz w:val="28"/>
          <w:szCs w:val="28"/>
        </w:rPr>
        <w:t xml:space="preserve"> elementos </w:t>
      </w:r>
      <w:r w:rsidR="002C280F" w:rsidRPr="00CD542C">
        <w:rPr>
          <w:rFonts w:ascii="Times New Roman" w:hAnsi="Times New Roman"/>
          <w:sz w:val="28"/>
          <w:szCs w:val="28"/>
        </w:rPr>
        <w:t xml:space="preserve">descriptivos </w:t>
      </w:r>
      <w:r w:rsidR="00B777EF" w:rsidRPr="00CD542C">
        <w:rPr>
          <w:rFonts w:ascii="Times New Roman" w:hAnsi="Times New Roman"/>
          <w:sz w:val="28"/>
          <w:szCs w:val="28"/>
        </w:rPr>
        <w:t xml:space="preserve">que al ser parte del tipo, </w:t>
      </w:r>
      <w:r w:rsidR="0018303A" w:rsidRPr="00CD542C">
        <w:rPr>
          <w:rFonts w:ascii="Times New Roman" w:hAnsi="Times New Roman"/>
          <w:sz w:val="28"/>
          <w:szCs w:val="28"/>
        </w:rPr>
        <w:t>pueden guiar la verificación de la intención</w:t>
      </w:r>
      <w:r w:rsidR="00AD4599" w:rsidRPr="00CD542C">
        <w:rPr>
          <w:rFonts w:ascii="Times New Roman" w:hAnsi="Times New Roman"/>
          <w:sz w:val="28"/>
          <w:szCs w:val="28"/>
        </w:rPr>
        <w:t xml:space="preserve"> desde del coherencia dogm</w:t>
      </w:r>
      <w:r w:rsidR="008C668A" w:rsidRPr="00CD542C">
        <w:rPr>
          <w:rFonts w:ascii="Times New Roman" w:hAnsi="Times New Roman"/>
          <w:sz w:val="28"/>
          <w:szCs w:val="28"/>
        </w:rPr>
        <w:t>ática del delito</w:t>
      </w:r>
      <w:r w:rsidR="00AD4599" w:rsidRPr="00CD542C">
        <w:rPr>
          <w:rFonts w:ascii="Times New Roman" w:hAnsi="Times New Roman"/>
          <w:sz w:val="28"/>
          <w:szCs w:val="28"/>
        </w:rPr>
        <w:t xml:space="preserve">. </w:t>
      </w:r>
      <w:r w:rsidR="0018303A" w:rsidRPr="00CD542C">
        <w:rPr>
          <w:rFonts w:ascii="Times New Roman" w:hAnsi="Times New Roman"/>
          <w:sz w:val="28"/>
          <w:szCs w:val="28"/>
        </w:rPr>
        <w:t>Esta técnica penal</w:t>
      </w:r>
      <w:r w:rsidR="00B777EF" w:rsidRPr="00CD542C">
        <w:rPr>
          <w:rFonts w:ascii="Times New Roman" w:hAnsi="Times New Roman"/>
          <w:sz w:val="28"/>
          <w:szCs w:val="28"/>
        </w:rPr>
        <w:t xml:space="preserve"> busca integrar </w:t>
      </w:r>
      <w:r w:rsidR="005E3BE9" w:rsidRPr="00CD542C">
        <w:rPr>
          <w:rFonts w:ascii="Times New Roman" w:hAnsi="Times New Roman"/>
          <w:sz w:val="28"/>
          <w:szCs w:val="28"/>
        </w:rPr>
        <w:t>una</w:t>
      </w:r>
      <w:r w:rsidR="00E737FB" w:rsidRPr="00CD542C">
        <w:rPr>
          <w:rFonts w:ascii="Times New Roman" w:hAnsi="Times New Roman"/>
          <w:sz w:val="28"/>
          <w:szCs w:val="28"/>
        </w:rPr>
        <w:t xml:space="preserve"> perspectiva de género</w:t>
      </w:r>
      <w:r w:rsidR="0046752F" w:rsidRPr="00CD542C">
        <w:rPr>
          <w:rFonts w:ascii="Times New Roman" w:hAnsi="Times New Roman"/>
          <w:sz w:val="28"/>
          <w:szCs w:val="28"/>
        </w:rPr>
        <w:t xml:space="preserve"> a la disposición</w:t>
      </w:r>
      <w:r w:rsidR="00E737FB" w:rsidRPr="00CD542C">
        <w:rPr>
          <w:rFonts w:ascii="Times New Roman" w:hAnsi="Times New Roman"/>
          <w:sz w:val="28"/>
          <w:szCs w:val="28"/>
        </w:rPr>
        <w:t xml:space="preserve">. </w:t>
      </w:r>
    </w:p>
    <w:p w:rsidR="00561A9E" w:rsidRPr="00CD542C" w:rsidRDefault="00561A9E" w:rsidP="00CD542C">
      <w:pPr>
        <w:spacing w:after="0" w:line="240" w:lineRule="auto"/>
        <w:jc w:val="both"/>
        <w:rPr>
          <w:rFonts w:ascii="Times New Roman" w:hAnsi="Times New Roman"/>
          <w:sz w:val="28"/>
          <w:szCs w:val="28"/>
        </w:rPr>
      </w:pPr>
    </w:p>
    <w:p w:rsidR="0046752F" w:rsidRPr="00CD542C" w:rsidRDefault="002E19DB" w:rsidP="00CD542C">
      <w:pPr>
        <w:spacing w:after="0" w:line="240" w:lineRule="auto"/>
        <w:jc w:val="both"/>
        <w:rPr>
          <w:rFonts w:ascii="Times New Roman" w:hAnsi="Times New Roman"/>
          <w:sz w:val="28"/>
          <w:szCs w:val="28"/>
        </w:rPr>
      </w:pPr>
      <w:r w:rsidRPr="00CD542C">
        <w:rPr>
          <w:rFonts w:ascii="Times New Roman" w:hAnsi="Times New Roman"/>
          <w:sz w:val="28"/>
          <w:szCs w:val="28"/>
        </w:rPr>
        <w:t>De este modo</w:t>
      </w:r>
      <w:r w:rsidR="007D4B96" w:rsidRPr="00CD542C">
        <w:rPr>
          <w:rFonts w:ascii="Times New Roman" w:hAnsi="Times New Roman"/>
          <w:sz w:val="28"/>
          <w:szCs w:val="28"/>
        </w:rPr>
        <w:t xml:space="preserve">, </w:t>
      </w:r>
      <w:r w:rsidR="00941505" w:rsidRPr="00CD542C">
        <w:rPr>
          <w:rFonts w:ascii="Times New Roman" w:hAnsi="Times New Roman"/>
          <w:sz w:val="28"/>
          <w:szCs w:val="28"/>
        </w:rPr>
        <w:t>una de las posibilidades que</w:t>
      </w:r>
      <w:r w:rsidRPr="00CD542C">
        <w:rPr>
          <w:rFonts w:ascii="Times New Roman" w:hAnsi="Times New Roman"/>
          <w:sz w:val="28"/>
          <w:szCs w:val="28"/>
        </w:rPr>
        <w:t xml:space="preserve"> </w:t>
      </w:r>
      <w:r w:rsidR="00652909" w:rsidRPr="00CD542C">
        <w:rPr>
          <w:rFonts w:ascii="Times New Roman" w:hAnsi="Times New Roman"/>
          <w:sz w:val="28"/>
          <w:szCs w:val="28"/>
        </w:rPr>
        <w:t xml:space="preserve">consagra </w:t>
      </w:r>
      <w:r w:rsidRPr="00CD542C">
        <w:rPr>
          <w:rFonts w:ascii="Times New Roman" w:hAnsi="Times New Roman"/>
          <w:sz w:val="28"/>
          <w:szCs w:val="28"/>
        </w:rPr>
        <w:t>el tipo para verificar</w:t>
      </w:r>
      <w:r w:rsidR="00941505" w:rsidRPr="00CD542C">
        <w:rPr>
          <w:rFonts w:ascii="Times New Roman" w:hAnsi="Times New Roman"/>
          <w:sz w:val="28"/>
          <w:szCs w:val="28"/>
        </w:rPr>
        <w:t xml:space="preserve"> la intención de dar muerte por razón de</w:t>
      </w:r>
      <w:r w:rsidR="00AD4599" w:rsidRPr="00CD542C">
        <w:rPr>
          <w:rFonts w:ascii="Times New Roman" w:hAnsi="Times New Roman"/>
          <w:sz w:val="28"/>
          <w:szCs w:val="28"/>
        </w:rPr>
        <w:t>l</w:t>
      </w:r>
      <w:r w:rsidR="00941505" w:rsidRPr="00CD542C">
        <w:rPr>
          <w:rFonts w:ascii="Times New Roman" w:hAnsi="Times New Roman"/>
          <w:sz w:val="28"/>
          <w:szCs w:val="28"/>
        </w:rPr>
        <w:t xml:space="preserve"> género</w:t>
      </w:r>
      <w:r w:rsidR="007D4B96" w:rsidRPr="00CD542C">
        <w:rPr>
          <w:rFonts w:ascii="Times New Roman" w:hAnsi="Times New Roman"/>
          <w:sz w:val="28"/>
          <w:szCs w:val="28"/>
        </w:rPr>
        <w:t xml:space="preserve">, </w:t>
      </w:r>
      <w:r w:rsidR="00941505" w:rsidRPr="00CD542C">
        <w:rPr>
          <w:rFonts w:ascii="Times New Roman" w:hAnsi="Times New Roman"/>
          <w:sz w:val="28"/>
          <w:szCs w:val="28"/>
        </w:rPr>
        <w:t xml:space="preserve">es </w:t>
      </w:r>
      <w:r w:rsidR="0018303A" w:rsidRPr="00CD542C">
        <w:rPr>
          <w:rFonts w:ascii="Times New Roman" w:hAnsi="Times New Roman"/>
          <w:sz w:val="28"/>
          <w:szCs w:val="28"/>
        </w:rPr>
        <w:t>la configuraci</w:t>
      </w:r>
      <w:r w:rsidR="00067B62" w:rsidRPr="00CD542C">
        <w:rPr>
          <w:rFonts w:ascii="Times New Roman" w:hAnsi="Times New Roman"/>
          <w:sz w:val="28"/>
          <w:szCs w:val="28"/>
        </w:rPr>
        <w:t>ón de las condiciones</w:t>
      </w:r>
      <w:r w:rsidR="0018303A" w:rsidRPr="00CD542C">
        <w:rPr>
          <w:rFonts w:ascii="Times New Roman" w:hAnsi="Times New Roman"/>
          <w:sz w:val="28"/>
          <w:szCs w:val="28"/>
        </w:rPr>
        <w:t xml:space="preserve"> </w:t>
      </w:r>
      <w:r w:rsidR="00067B62" w:rsidRPr="00CD542C">
        <w:rPr>
          <w:rFonts w:ascii="Times New Roman" w:hAnsi="Times New Roman"/>
          <w:sz w:val="28"/>
          <w:szCs w:val="28"/>
        </w:rPr>
        <w:t>establecida</w:t>
      </w:r>
      <w:r w:rsidR="0018303A" w:rsidRPr="00CD542C">
        <w:rPr>
          <w:rFonts w:ascii="Times New Roman" w:hAnsi="Times New Roman"/>
          <w:sz w:val="28"/>
          <w:szCs w:val="28"/>
        </w:rPr>
        <w:t>s en el literal e) que se revisa en esta ocasión</w:t>
      </w:r>
      <w:r w:rsidR="00067B62" w:rsidRPr="00CD542C">
        <w:rPr>
          <w:rFonts w:ascii="Times New Roman" w:hAnsi="Times New Roman"/>
          <w:sz w:val="28"/>
          <w:szCs w:val="28"/>
        </w:rPr>
        <w:t>, la</w:t>
      </w:r>
      <w:r w:rsidR="0018303A" w:rsidRPr="00CD542C">
        <w:rPr>
          <w:rFonts w:ascii="Times New Roman" w:hAnsi="Times New Roman"/>
          <w:sz w:val="28"/>
          <w:szCs w:val="28"/>
        </w:rPr>
        <w:t xml:space="preserve">s que deberán ser considerados </w:t>
      </w:r>
      <w:r w:rsidR="00145393" w:rsidRPr="00CD542C">
        <w:rPr>
          <w:rFonts w:ascii="Times New Roman" w:hAnsi="Times New Roman"/>
          <w:sz w:val="28"/>
          <w:szCs w:val="28"/>
        </w:rPr>
        <w:t>con los todos los</w:t>
      </w:r>
      <w:r w:rsidR="007D4B96" w:rsidRPr="00CD542C">
        <w:rPr>
          <w:rFonts w:ascii="Times New Roman" w:hAnsi="Times New Roman"/>
          <w:sz w:val="28"/>
          <w:szCs w:val="28"/>
        </w:rPr>
        <w:t xml:space="preserve"> elementos</w:t>
      </w:r>
      <w:r w:rsidR="00E737FB" w:rsidRPr="00CD542C">
        <w:rPr>
          <w:rFonts w:ascii="Times New Roman" w:hAnsi="Times New Roman"/>
          <w:sz w:val="28"/>
          <w:szCs w:val="28"/>
        </w:rPr>
        <w:t xml:space="preserve"> de prueba</w:t>
      </w:r>
      <w:r w:rsidR="0018303A" w:rsidRPr="00CD542C">
        <w:rPr>
          <w:rFonts w:ascii="Times New Roman" w:hAnsi="Times New Roman"/>
          <w:sz w:val="28"/>
          <w:szCs w:val="28"/>
        </w:rPr>
        <w:t>.</w:t>
      </w:r>
      <w:r w:rsidR="005E3BE9" w:rsidRPr="00CD542C">
        <w:rPr>
          <w:rFonts w:ascii="Times New Roman" w:hAnsi="Times New Roman"/>
          <w:sz w:val="28"/>
          <w:szCs w:val="28"/>
        </w:rPr>
        <w:t xml:space="preserve"> </w:t>
      </w:r>
      <w:r w:rsidR="00561A9E" w:rsidRPr="00CD542C">
        <w:rPr>
          <w:rFonts w:ascii="Times New Roman" w:hAnsi="Times New Roman"/>
          <w:sz w:val="28"/>
          <w:szCs w:val="28"/>
        </w:rPr>
        <w:t>No obstante, si bien el Legislador estableció unas</w:t>
      </w:r>
      <w:r w:rsidR="001302BC" w:rsidRPr="00CD542C">
        <w:rPr>
          <w:rFonts w:ascii="Times New Roman" w:hAnsi="Times New Roman"/>
          <w:sz w:val="28"/>
          <w:szCs w:val="28"/>
        </w:rPr>
        <w:t xml:space="preserve"> circunstancias específicas</w:t>
      </w:r>
      <w:r w:rsidR="00561A9E" w:rsidRPr="00CD542C">
        <w:rPr>
          <w:rFonts w:ascii="Times New Roman" w:hAnsi="Times New Roman"/>
          <w:sz w:val="28"/>
          <w:szCs w:val="28"/>
        </w:rPr>
        <w:t xml:space="preserve"> en los literales </w:t>
      </w:r>
      <w:r w:rsidR="008C668A" w:rsidRPr="00CD542C">
        <w:rPr>
          <w:rFonts w:ascii="Times New Roman" w:hAnsi="Times New Roman"/>
          <w:sz w:val="28"/>
          <w:szCs w:val="28"/>
        </w:rPr>
        <w:t>de la norma</w:t>
      </w:r>
      <w:r w:rsidR="00561A9E" w:rsidRPr="00CD542C">
        <w:rPr>
          <w:rFonts w:ascii="Times New Roman" w:hAnsi="Times New Roman"/>
          <w:sz w:val="28"/>
          <w:szCs w:val="28"/>
        </w:rPr>
        <w:t>, éstas no son un catálogo necesario</w:t>
      </w:r>
      <w:r w:rsidR="00145393" w:rsidRPr="00CD542C">
        <w:rPr>
          <w:rFonts w:ascii="Times New Roman" w:hAnsi="Times New Roman"/>
          <w:sz w:val="28"/>
          <w:szCs w:val="28"/>
        </w:rPr>
        <w:t xml:space="preserve"> que debe agotarse para comprobar el feminicidio.</w:t>
      </w:r>
      <w:r w:rsidR="001302BC" w:rsidRPr="00CD542C">
        <w:rPr>
          <w:rFonts w:ascii="Times New Roman" w:hAnsi="Times New Roman"/>
          <w:sz w:val="28"/>
          <w:szCs w:val="28"/>
        </w:rPr>
        <w:t xml:space="preserve"> E</w:t>
      </w:r>
      <w:r w:rsidR="00145393" w:rsidRPr="00CD542C">
        <w:rPr>
          <w:rFonts w:ascii="Times New Roman" w:hAnsi="Times New Roman"/>
          <w:sz w:val="28"/>
          <w:szCs w:val="28"/>
        </w:rPr>
        <w:t>s decir, la adecuación típica</w:t>
      </w:r>
      <w:r w:rsidR="001302BC" w:rsidRPr="00CD542C">
        <w:rPr>
          <w:rFonts w:ascii="Times New Roman" w:hAnsi="Times New Roman"/>
          <w:sz w:val="28"/>
          <w:szCs w:val="28"/>
        </w:rPr>
        <w:t xml:space="preserve"> </w:t>
      </w:r>
      <w:r w:rsidR="00145393" w:rsidRPr="00CD542C">
        <w:rPr>
          <w:rFonts w:ascii="Times New Roman" w:hAnsi="Times New Roman"/>
          <w:sz w:val="28"/>
          <w:szCs w:val="28"/>
        </w:rPr>
        <w:t xml:space="preserve">de la conducta </w:t>
      </w:r>
      <w:r w:rsidR="00561A9E" w:rsidRPr="00CD542C">
        <w:rPr>
          <w:rFonts w:ascii="Times New Roman" w:hAnsi="Times New Roman"/>
          <w:sz w:val="28"/>
          <w:szCs w:val="28"/>
        </w:rPr>
        <w:t>siempre debe</w:t>
      </w:r>
      <w:r w:rsidR="00145393" w:rsidRPr="00CD542C">
        <w:rPr>
          <w:rFonts w:ascii="Times New Roman" w:hAnsi="Times New Roman"/>
          <w:sz w:val="28"/>
          <w:szCs w:val="28"/>
        </w:rPr>
        <w:t xml:space="preserve"> abordarse</w:t>
      </w:r>
      <w:r w:rsidR="00561A9E" w:rsidRPr="00CD542C">
        <w:rPr>
          <w:rFonts w:ascii="Times New Roman" w:hAnsi="Times New Roman"/>
          <w:sz w:val="28"/>
          <w:szCs w:val="28"/>
        </w:rPr>
        <w:t xml:space="preserve"> a la luz del móvil, como el </w:t>
      </w:r>
      <w:r w:rsidRPr="00CD542C">
        <w:rPr>
          <w:rFonts w:ascii="Times New Roman" w:hAnsi="Times New Roman"/>
          <w:sz w:val="28"/>
          <w:szCs w:val="28"/>
        </w:rPr>
        <w:t xml:space="preserve">elemento transversal </w:t>
      </w:r>
      <w:r w:rsidR="00561A9E" w:rsidRPr="00CD542C">
        <w:rPr>
          <w:rFonts w:ascii="Times New Roman" w:hAnsi="Times New Roman"/>
          <w:sz w:val="28"/>
          <w:szCs w:val="28"/>
        </w:rPr>
        <w:t>que lleva consigo el análisis de la violencia</w:t>
      </w:r>
      <w:r w:rsidR="008C668A" w:rsidRPr="00CD542C">
        <w:rPr>
          <w:rFonts w:ascii="Times New Roman" w:hAnsi="Times New Roman"/>
          <w:sz w:val="28"/>
          <w:szCs w:val="28"/>
        </w:rPr>
        <w:t xml:space="preserve"> o discriminación</w:t>
      </w:r>
      <w:r w:rsidR="00561A9E" w:rsidRPr="00CD542C">
        <w:rPr>
          <w:rFonts w:ascii="Times New Roman" w:hAnsi="Times New Roman"/>
          <w:sz w:val="28"/>
          <w:szCs w:val="28"/>
        </w:rPr>
        <w:t xml:space="preserve"> de género</w:t>
      </w:r>
      <w:r w:rsidR="00067B62" w:rsidRPr="00CD542C">
        <w:rPr>
          <w:rFonts w:ascii="Times New Roman" w:hAnsi="Times New Roman"/>
          <w:sz w:val="28"/>
          <w:szCs w:val="28"/>
        </w:rPr>
        <w:t>,</w:t>
      </w:r>
      <w:r w:rsidR="00561A9E" w:rsidRPr="00CD542C">
        <w:rPr>
          <w:rFonts w:ascii="Times New Roman" w:hAnsi="Times New Roman"/>
          <w:sz w:val="28"/>
          <w:szCs w:val="28"/>
        </w:rPr>
        <w:t xml:space="preserve"> en cualquiera de sus formas</w:t>
      </w:r>
      <w:r w:rsidR="004968D1" w:rsidRPr="00CD542C">
        <w:rPr>
          <w:rFonts w:ascii="Times New Roman" w:hAnsi="Times New Roman"/>
          <w:sz w:val="28"/>
          <w:szCs w:val="28"/>
        </w:rPr>
        <w:t>, que puede escapar a dichas circunstancias</w:t>
      </w:r>
      <w:r w:rsidR="00561A9E" w:rsidRPr="00CD542C">
        <w:rPr>
          <w:rFonts w:ascii="Times New Roman" w:hAnsi="Times New Roman"/>
          <w:sz w:val="28"/>
          <w:szCs w:val="28"/>
        </w:rPr>
        <w:t xml:space="preserve">. </w:t>
      </w:r>
    </w:p>
    <w:p w:rsidR="0046752F" w:rsidRPr="00CD542C" w:rsidRDefault="0046752F" w:rsidP="00CD542C">
      <w:pPr>
        <w:spacing w:after="0" w:line="240" w:lineRule="auto"/>
        <w:jc w:val="both"/>
        <w:rPr>
          <w:rFonts w:ascii="Times New Roman" w:hAnsi="Times New Roman"/>
          <w:sz w:val="28"/>
          <w:szCs w:val="28"/>
        </w:rPr>
      </w:pPr>
    </w:p>
    <w:p w:rsidR="007D4B96" w:rsidRPr="00CD542C" w:rsidRDefault="00364FCE" w:rsidP="00CD542C">
      <w:pPr>
        <w:spacing w:after="0" w:line="240" w:lineRule="auto"/>
        <w:jc w:val="both"/>
        <w:rPr>
          <w:rFonts w:ascii="Times New Roman" w:hAnsi="Times New Roman"/>
          <w:sz w:val="28"/>
          <w:szCs w:val="28"/>
        </w:rPr>
      </w:pPr>
      <w:r w:rsidRPr="00CD542C">
        <w:rPr>
          <w:rFonts w:ascii="Times New Roman" w:hAnsi="Times New Roman"/>
          <w:sz w:val="28"/>
          <w:szCs w:val="28"/>
        </w:rPr>
        <w:t>Esta</w:t>
      </w:r>
      <w:r w:rsidR="007D4B96" w:rsidRPr="00CD542C">
        <w:rPr>
          <w:rFonts w:ascii="Times New Roman" w:hAnsi="Times New Roman"/>
          <w:sz w:val="28"/>
          <w:szCs w:val="28"/>
        </w:rPr>
        <w:t xml:space="preserve"> valoración encuentra su legítimo fundamento en la obligación que impone el deber de debida diligencia en la investigac</w:t>
      </w:r>
      <w:r w:rsidR="00023FB2" w:rsidRPr="00CD542C">
        <w:rPr>
          <w:rFonts w:ascii="Times New Roman" w:hAnsi="Times New Roman"/>
          <w:sz w:val="28"/>
          <w:szCs w:val="28"/>
        </w:rPr>
        <w:t>ión y sanción de la violencia contra la mujer</w:t>
      </w:r>
      <w:r w:rsidR="005E3BE9" w:rsidRPr="00CD542C">
        <w:rPr>
          <w:rFonts w:ascii="Times New Roman" w:hAnsi="Times New Roman"/>
          <w:sz w:val="28"/>
          <w:szCs w:val="28"/>
        </w:rPr>
        <w:t xml:space="preserve">. </w:t>
      </w:r>
      <w:r w:rsidRPr="00CD542C">
        <w:rPr>
          <w:rFonts w:ascii="Times New Roman" w:hAnsi="Times New Roman"/>
          <w:sz w:val="28"/>
          <w:szCs w:val="28"/>
        </w:rPr>
        <w:t>Así, l</w:t>
      </w:r>
      <w:r w:rsidR="005E3BE9" w:rsidRPr="00CD542C">
        <w:rPr>
          <w:rFonts w:ascii="Times New Roman" w:hAnsi="Times New Roman"/>
          <w:sz w:val="28"/>
          <w:szCs w:val="28"/>
        </w:rPr>
        <w:t>a investigación con perspectiva de género</w:t>
      </w:r>
      <w:r w:rsidR="0018303A" w:rsidRPr="00CD542C">
        <w:rPr>
          <w:rFonts w:ascii="Times New Roman" w:hAnsi="Times New Roman"/>
          <w:sz w:val="28"/>
          <w:szCs w:val="28"/>
        </w:rPr>
        <w:t>, en este caso,</w:t>
      </w:r>
      <w:r w:rsidR="005E3BE9" w:rsidRPr="00CD542C">
        <w:rPr>
          <w:rFonts w:ascii="Times New Roman" w:hAnsi="Times New Roman"/>
          <w:sz w:val="28"/>
          <w:szCs w:val="28"/>
        </w:rPr>
        <w:t xml:space="preserve"> requiere </w:t>
      </w:r>
      <w:r w:rsidR="00CD556A" w:rsidRPr="00CD542C">
        <w:rPr>
          <w:rFonts w:ascii="Times New Roman" w:hAnsi="Times New Roman"/>
          <w:sz w:val="28"/>
          <w:szCs w:val="28"/>
        </w:rPr>
        <w:t xml:space="preserve">de </w:t>
      </w:r>
      <w:r w:rsidR="005E3BE9" w:rsidRPr="00CD542C">
        <w:rPr>
          <w:rFonts w:ascii="Times New Roman" w:hAnsi="Times New Roman"/>
          <w:sz w:val="28"/>
          <w:szCs w:val="28"/>
        </w:rPr>
        <w:t>la apreciación</w:t>
      </w:r>
      <w:r w:rsidR="007D4B96" w:rsidRPr="00CD542C">
        <w:rPr>
          <w:rFonts w:ascii="Times New Roman" w:hAnsi="Times New Roman"/>
          <w:sz w:val="28"/>
          <w:szCs w:val="28"/>
        </w:rPr>
        <w:t xml:space="preserve"> de</w:t>
      </w:r>
      <w:r w:rsidR="00822ACE" w:rsidRPr="00CD542C">
        <w:rPr>
          <w:rFonts w:ascii="Times New Roman" w:hAnsi="Times New Roman"/>
          <w:sz w:val="28"/>
          <w:szCs w:val="28"/>
        </w:rPr>
        <w:t xml:space="preserve"> las circunstancias contextuales del literal e)</w:t>
      </w:r>
      <w:r w:rsidR="007D4B96" w:rsidRPr="00CD542C">
        <w:rPr>
          <w:rFonts w:ascii="Times New Roman" w:hAnsi="Times New Roman"/>
          <w:sz w:val="28"/>
          <w:szCs w:val="28"/>
        </w:rPr>
        <w:t xml:space="preserve"> </w:t>
      </w:r>
      <w:r w:rsidR="009058F0" w:rsidRPr="00CD542C">
        <w:rPr>
          <w:rFonts w:ascii="Times New Roman" w:hAnsi="Times New Roman"/>
          <w:sz w:val="28"/>
          <w:szCs w:val="28"/>
        </w:rPr>
        <w:t xml:space="preserve">como </w:t>
      </w:r>
      <w:r w:rsidR="00CD556A" w:rsidRPr="00CD542C">
        <w:rPr>
          <w:rFonts w:ascii="Times New Roman" w:hAnsi="Times New Roman"/>
          <w:sz w:val="28"/>
          <w:szCs w:val="28"/>
        </w:rPr>
        <w:t xml:space="preserve">hechos </w:t>
      </w:r>
      <w:r w:rsidR="003B59BB" w:rsidRPr="00CD542C">
        <w:rPr>
          <w:rFonts w:ascii="Times New Roman" w:hAnsi="Times New Roman"/>
          <w:sz w:val="28"/>
          <w:szCs w:val="28"/>
        </w:rPr>
        <w:t>que puede</w:t>
      </w:r>
      <w:r w:rsidR="007D4B96" w:rsidRPr="00CD542C">
        <w:rPr>
          <w:rFonts w:ascii="Times New Roman" w:hAnsi="Times New Roman"/>
          <w:sz w:val="28"/>
          <w:szCs w:val="28"/>
        </w:rPr>
        <w:t xml:space="preserve">n llevar a verificar una situación de desigualdad </w:t>
      </w:r>
      <w:r w:rsidR="003B59BB" w:rsidRPr="00CD542C">
        <w:rPr>
          <w:rFonts w:ascii="Times New Roman" w:hAnsi="Times New Roman"/>
          <w:sz w:val="28"/>
          <w:szCs w:val="28"/>
        </w:rPr>
        <w:t xml:space="preserve">en contra de </w:t>
      </w:r>
      <w:r w:rsidR="007D4B96" w:rsidRPr="00CD542C">
        <w:rPr>
          <w:rFonts w:ascii="Times New Roman" w:hAnsi="Times New Roman"/>
          <w:sz w:val="28"/>
          <w:szCs w:val="28"/>
        </w:rPr>
        <w:t>la mujer</w:t>
      </w:r>
      <w:r w:rsidR="003B59BB" w:rsidRPr="00CD542C">
        <w:rPr>
          <w:rFonts w:ascii="Times New Roman" w:hAnsi="Times New Roman"/>
          <w:sz w:val="28"/>
          <w:szCs w:val="28"/>
        </w:rPr>
        <w:t>,</w:t>
      </w:r>
      <w:r w:rsidR="007D4B96" w:rsidRPr="00CD542C">
        <w:rPr>
          <w:rFonts w:ascii="Times New Roman" w:hAnsi="Times New Roman"/>
          <w:sz w:val="28"/>
          <w:szCs w:val="28"/>
        </w:rPr>
        <w:t xml:space="preserve"> por su género</w:t>
      </w:r>
      <w:r w:rsidR="003B59BB" w:rsidRPr="00CD542C">
        <w:rPr>
          <w:rFonts w:ascii="Times New Roman" w:hAnsi="Times New Roman"/>
          <w:sz w:val="28"/>
          <w:szCs w:val="28"/>
        </w:rPr>
        <w:t>,</w:t>
      </w:r>
      <w:r w:rsidR="005E3BE9" w:rsidRPr="00CD542C">
        <w:rPr>
          <w:rFonts w:ascii="Times New Roman" w:hAnsi="Times New Roman"/>
          <w:sz w:val="28"/>
          <w:szCs w:val="28"/>
        </w:rPr>
        <w:t xml:space="preserve"> que fundamente su homicidio</w:t>
      </w:r>
      <w:r w:rsidR="007D4B96" w:rsidRPr="00CD542C">
        <w:rPr>
          <w:rFonts w:ascii="Times New Roman" w:hAnsi="Times New Roman"/>
          <w:sz w:val="28"/>
          <w:szCs w:val="28"/>
        </w:rPr>
        <w:t>.</w:t>
      </w:r>
      <w:r w:rsidR="0046752F" w:rsidRPr="00CD542C">
        <w:rPr>
          <w:rFonts w:ascii="Times New Roman" w:hAnsi="Times New Roman"/>
          <w:sz w:val="28"/>
          <w:szCs w:val="28"/>
        </w:rPr>
        <w:t xml:space="preserve"> </w:t>
      </w:r>
      <w:r w:rsidR="00DA446C" w:rsidRPr="00CD542C">
        <w:rPr>
          <w:rFonts w:ascii="Times New Roman" w:hAnsi="Times New Roman"/>
          <w:sz w:val="28"/>
          <w:szCs w:val="28"/>
        </w:rPr>
        <w:t>No obstante, esto no</w:t>
      </w:r>
      <w:r w:rsidR="0046752F" w:rsidRPr="00CD542C">
        <w:rPr>
          <w:rFonts w:ascii="Times New Roman" w:hAnsi="Times New Roman"/>
          <w:sz w:val="28"/>
          <w:szCs w:val="28"/>
        </w:rPr>
        <w:t xml:space="preserve"> significa que la presencia de dicha</w:t>
      </w:r>
      <w:r w:rsidR="003B59BB" w:rsidRPr="00CD542C">
        <w:rPr>
          <w:rFonts w:ascii="Times New Roman" w:hAnsi="Times New Roman"/>
          <w:sz w:val="28"/>
          <w:szCs w:val="28"/>
        </w:rPr>
        <w:t>s</w:t>
      </w:r>
      <w:r w:rsidR="0046752F" w:rsidRPr="00CD542C">
        <w:rPr>
          <w:rFonts w:ascii="Times New Roman" w:hAnsi="Times New Roman"/>
          <w:sz w:val="28"/>
          <w:szCs w:val="28"/>
        </w:rPr>
        <w:t xml:space="preserve"> circunstancia</w:t>
      </w:r>
      <w:r w:rsidR="003B59BB" w:rsidRPr="00CD542C">
        <w:rPr>
          <w:rFonts w:ascii="Times New Roman" w:hAnsi="Times New Roman"/>
          <w:sz w:val="28"/>
          <w:szCs w:val="28"/>
        </w:rPr>
        <w:t>s</w:t>
      </w:r>
      <w:r w:rsidR="00DA446C" w:rsidRPr="00CD542C">
        <w:rPr>
          <w:rFonts w:ascii="Times New Roman" w:hAnsi="Times New Roman"/>
          <w:sz w:val="28"/>
          <w:szCs w:val="28"/>
        </w:rPr>
        <w:t xml:space="preserve"> supone</w:t>
      </w:r>
      <w:r w:rsidR="0046752F" w:rsidRPr="00CD542C">
        <w:rPr>
          <w:rFonts w:ascii="Times New Roman" w:hAnsi="Times New Roman"/>
          <w:sz w:val="28"/>
          <w:szCs w:val="28"/>
        </w:rPr>
        <w:t xml:space="preserve"> autónoma o automáticamente la intención.</w:t>
      </w:r>
    </w:p>
    <w:p w:rsidR="00580C25" w:rsidRPr="00CD542C" w:rsidRDefault="00580C25" w:rsidP="00CD542C">
      <w:pPr>
        <w:spacing w:after="0" w:line="240" w:lineRule="auto"/>
        <w:jc w:val="both"/>
        <w:rPr>
          <w:rFonts w:ascii="Times New Roman" w:hAnsi="Times New Roman"/>
          <w:sz w:val="28"/>
          <w:szCs w:val="28"/>
        </w:rPr>
      </w:pPr>
    </w:p>
    <w:p w:rsidR="00C622A8" w:rsidRPr="00CD542C" w:rsidRDefault="00C622A8" w:rsidP="00CD542C">
      <w:pPr>
        <w:spacing w:after="0" w:line="240" w:lineRule="auto"/>
        <w:jc w:val="both"/>
        <w:rPr>
          <w:rFonts w:ascii="Times New Roman" w:hAnsi="Times New Roman"/>
          <w:sz w:val="28"/>
          <w:szCs w:val="28"/>
        </w:rPr>
      </w:pPr>
      <w:r w:rsidRPr="00CD542C">
        <w:rPr>
          <w:rFonts w:ascii="Times New Roman" w:hAnsi="Times New Roman"/>
          <w:sz w:val="28"/>
          <w:szCs w:val="28"/>
        </w:rPr>
        <w:t>Este análisis contextual</w:t>
      </w:r>
      <w:r w:rsidR="001C0739" w:rsidRPr="00CD542C">
        <w:rPr>
          <w:rFonts w:ascii="Times New Roman" w:hAnsi="Times New Roman"/>
          <w:sz w:val="28"/>
          <w:szCs w:val="28"/>
        </w:rPr>
        <w:t xml:space="preserve"> a partir de </w:t>
      </w:r>
      <w:r w:rsidR="00E70433" w:rsidRPr="00CD542C">
        <w:rPr>
          <w:rFonts w:ascii="Times New Roman" w:hAnsi="Times New Roman"/>
          <w:sz w:val="28"/>
          <w:szCs w:val="28"/>
        </w:rPr>
        <w:t>los indicios,</w:t>
      </w:r>
      <w:r w:rsidR="001C0739" w:rsidRPr="00CD542C">
        <w:rPr>
          <w:rFonts w:ascii="Times New Roman" w:hAnsi="Times New Roman"/>
          <w:sz w:val="28"/>
          <w:szCs w:val="28"/>
        </w:rPr>
        <w:t xml:space="preserve"> antecedentes</w:t>
      </w:r>
      <w:r w:rsidR="00E70433" w:rsidRPr="00CD542C">
        <w:rPr>
          <w:rFonts w:ascii="Times New Roman" w:hAnsi="Times New Roman"/>
          <w:sz w:val="28"/>
          <w:szCs w:val="28"/>
        </w:rPr>
        <w:t xml:space="preserve"> o amenazas</w:t>
      </w:r>
      <w:r w:rsidR="009A1FE7" w:rsidRPr="00CD542C">
        <w:rPr>
          <w:rFonts w:ascii="Times New Roman" w:hAnsi="Times New Roman"/>
          <w:sz w:val="28"/>
          <w:szCs w:val="28"/>
        </w:rPr>
        <w:t>, pretende ser</w:t>
      </w:r>
      <w:r w:rsidRPr="00CD542C">
        <w:rPr>
          <w:rFonts w:ascii="Times New Roman" w:hAnsi="Times New Roman"/>
          <w:sz w:val="28"/>
          <w:szCs w:val="28"/>
        </w:rPr>
        <w:t xml:space="preserve"> una guía para que el homicidio de la mujer sea visto en </w:t>
      </w:r>
      <w:r w:rsidR="009A1FE7" w:rsidRPr="00CD542C">
        <w:rPr>
          <w:rFonts w:ascii="Times New Roman" w:hAnsi="Times New Roman"/>
          <w:sz w:val="28"/>
          <w:szCs w:val="28"/>
        </w:rPr>
        <w:t>co</w:t>
      </w:r>
      <w:r w:rsidR="00957455" w:rsidRPr="00CD542C">
        <w:rPr>
          <w:rFonts w:ascii="Times New Roman" w:hAnsi="Times New Roman"/>
          <w:sz w:val="28"/>
          <w:szCs w:val="28"/>
        </w:rPr>
        <w:t>njunto con hechos que puedan evidenciar</w:t>
      </w:r>
      <w:r w:rsidR="009A1FE7" w:rsidRPr="00CD542C">
        <w:rPr>
          <w:rFonts w:ascii="Times New Roman" w:hAnsi="Times New Roman"/>
          <w:sz w:val="28"/>
          <w:szCs w:val="28"/>
        </w:rPr>
        <w:t xml:space="preserve"> un sentido particular al homicidio para identificar si </w:t>
      </w:r>
      <w:r w:rsidR="00F11145" w:rsidRPr="00CD542C">
        <w:rPr>
          <w:rFonts w:ascii="Times New Roman" w:hAnsi="Times New Roman"/>
          <w:sz w:val="28"/>
          <w:szCs w:val="28"/>
        </w:rPr>
        <w:t>de existir esas razones que</w:t>
      </w:r>
      <w:r w:rsidRPr="00CD542C">
        <w:rPr>
          <w:rFonts w:ascii="Times New Roman" w:hAnsi="Times New Roman"/>
          <w:sz w:val="28"/>
          <w:szCs w:val="28"/>
        </w:rPr>
        <w:t xml:space="preserve"> configuran la intención sean visibilizadas.  </w:t>
      </w:r>
      <w:r w:rsidR="00822A32" w:rsidRPr="00CD542C">
        <w:rPr>
          <w:rFonts w:ascii="Times New Roman" w:hAnsi="Times New Roman"/>
          <w:sz w:val="28"/>
          <w:szCs w:val="28"/>
        </w:rPr>
        <w:t>Como se advirtió, la inclusión de este tipo de elementos en la descripción del tipo busca superar una dificultad probatoria para que la misma tipicidad del hecho punible conduzca la labor de los jueces y fiscales para que su apreciación tenga la posibilidad de reconocer las diferencias de poder que generan una discriminación sistemática para las mujeres que</w:t>
      </w:r>
      <w:r w:rsidR="0046752F" w:rsidRPr="00CD542C">
        <w:rPr>
          <w:rFonts w:ascii="Times New Roman" w:hAnsi="Times New Roman"/>
          <w:sz w:val="28"/>
          <w:szCs w:val="28"/>
        </w:rPr>
        <w:t xml:space="preserve"> a su vez</w:t>
      </w:r>
      <w:r w:rsidR="00822A32" w:rsidRPr="00CD542C">
        <w:rPr>
          <w:rFonts w:ascii="Times New Roman" w:hAnsi="Times New Roman"/>
          <w:sz w:val="28"/>
          <w:szCs w:val="28"/>
        </w:rPr>
        <w:t xml:space="preserve"> desenc</w:t>
      </w:r>
      <w:r w:rsidR="0046752F" w:rsidRPr="00CD542C">
        <w:rPr>
          <w:rFonts w:ascii="Times New Roman" w:hAnsi="Times New Roman"/>
          <w:sz w:val="28"/>
          <w:szCs w:val="28"/>
        </w:rPr>
        <w:t>adena una violencia exacerbada que</w:t>
      </w:r>
      <w:r w:rsidR="00822A32" w:rsidRPr="00CD542C">
        <w:rPr>
          <w:rFonts w:ascii="Times New Roman" w:hAnsi="Times New Roman"/>
          <w:sz w:val="28"/>
          <w:szCs w:val="28"/>
        </w:rPr>
        <w:t xml:space="preserve"> cobra sus vidas en la impunidad. </w:t>
      </w:r>
      <w:r w:rsidR="00822A32" w:rsidRPr="00CD542C">
        <w:rPr>
          <w:rFonts w:ascii="Times New Roman" w:hAnsi="Times New Roman"/>
          <w:b/>
          <w:bCs/>
          <w:sz w:val="28"/>
          <w:szCs w:val="28"/>
        </w:rPr>
        <w:t xml:space="preserve">Esta técnica penal supone acoger un cambio en el acercamiento del </w:t>
      </w:r>
      <w:r w:rsidR="00822A32" w:rsidRPr="00CD542C">
        <w:rPr>
          <w:rFonts w:ascii="Times New Roman" w:hAnsi="Times New Roman"/>
          <w:b/>
          <w:bCs/>
          <w:sz w:val="28"/>
          <w:szCs w:val="28"/>
        </w:rPr>
        <w:lastRenderedPageBreak/>
        <w:t xml:space="preserve">derecho penal </w:t>
      </w:r>
      <w:r w:rsidR="00912413" w:rsidRPr="00CD542C">
        <w:rPr>
          <w:rFonts w:ascii="Times New Roman" w:hAnsi="Times New Roman"/>
          <w:b/>
          <w:bCs/>
          <w:sz w:val="28"/>
          <w:szCs w:val="28"/>
        </w:rPr>
        <w:t>h</w:t>
      </w:r>
      <w:r w:rsidR="00822A32" w:rsidRPr="00CD542C">
        <w:rPr>
          <w:rFonts w:ascii="Times New Roman" w:hAnsi="Times New Roman"/>
          <w:b/>
          <w:bCs/>
          <w:sz w:val="28"/>
          <w:szCs w:val="28"/>
        </w:rPr>
        <w:t>a</w:t>
      </w:r>
      <w:r w:rsidR="00912413" w:rsidRPr="00CD542C">
        <w:rPr>
          <w:rFonts w:ascii="Times New Roman" w:hAnsi="Times New Roman"/>
          <w:b/>
          <w:bCs/>
          <w:sz w:val="28"/>
          <w:szCs w:val="28"/>
        </w:rPr>
        <w:t>cia</w:t>
      </w:r>
      <w:r w:rsidR="00822A32" w:rsidRPr="00CD542C">
        <w:rPr>
          <w:rFonts w:ascii="Times New Roman" w:hAnsi="Times New Roman"/>
          <w:b/>
          <w:bCs/>
          <w:sz w:val="28"/>
          <w:szCs w:val="28"/>
        </w:rPr>
        <w:t xml:space="preserve"> su deber de debida diligencia frente a la investigación y sanción de la violencia contra las mujeres que incluya una perspectiva de género.</w:t>
      </w:r>
      <w:r w:rsidR="00822A32" w:rsidRPr="00CD542C">
        <w:rPr>
          <w:rFonts w:ascii="Times New Roman" w:hAnsi="Times New Roman"/>
          <w:sz w:val="28"/>
          <w:szCs w:val="28"/>
        </w:rPr>
        <w:t xml:space="preserve"> </w:t>
      </w:r>
      <w:r w:rsidR="00912413" w:rsidRPr="00CD542C">
        <w:rPr>
          <w:rFonts w:ascii="Times New Roman" w:hAnsi="Times New Roman"/>
          <w:sz w:val="28"/>
          <w:szCs w:val="28"/>
        </w:rPr>
        <w:t xml:space="preserve">Lo anterior, reconoce las dificultades que permean la administración de justicia frente a los estereotipos de género para otorgar herramientas objetivas que dirijan la atención hacia situaciones que evidencian la discriminación de las mujeres y puedan valorarlas en su dimensión. </w:t>
      </w:r>
      <w:r w:rsidR="00CC3889" w:rsidRPr="00CD542C">
        <w:rPr>
          <w:rFonts w:ascii="Times New Roman" w:hAnsi="Times New Roman"/>
          <w:sz w:val="28"/>
          <w:szCs w:val="28"/>
        </w:rPr>
        <w:t>Así, la comprobación</w:t>
      </w:r>
      <w:r w:rsidR="0099647A" w:rsidRPr="00CD542C">
        <w:rPr>
          <w:rFonts w:ascii="Times New Roman" w:hAnsi="Times New Roman"/>
          <w:sz w:val="28"/>
          <w:szCs w:val="28"/>
        </w:rPr>
        <w:t xml:space="preserve"> de antecedentes, indicios o amen</w:t>
      </w:r>
      <w:r w:rsidR="009A1FE7" w:rsidRPr="00CD542C">
        <w:rPr>
          <w:rFonts w:ascii="Times New Roman" w:hAnsi="Times New Roman"/>
          <w:sz w:val="28"/>
          <w:szCs w:val="28"/>
        </w:rPr>
        <w:t>azas</w:t>
      </w:r>
      <w:r w:rsidR="00957455" w:rsidRPr="00CD542C">
        <w:rPr>
          <w:rFonts w:ascii="Times New Roman" w:hAnsi="Times New Roman"/>
          <w:sz w:val="28"/>
          <w:szCs w:val="28"/>
        </w:rPr>
        <w:t xml:space="preserve"> sin </w:t>
      </w:r>
      <w:r w:rsidR="00552E52" w:rsidRPr="00CD542C">
        <w:rPr>
          <w:rFonts w:ascii="Times New Roman" w:hAnsi="Times New Roman"/>
          <w:sz w:val="28"/>
          <w:szCs w:val="28"/>
        </w:rPr>
        <w:t>denuncia previa y perpetuada</w:t>
      </w:r>
      <w:r w:rsidR="00957455" w:rsidRPr="00CD542C">
        <w:rPr>
          <w:rFonts w:ascii="Times New Roman" w:hAnsi="Times New Roman"/>
          <w:sz w:val="28"/>
          <w:szCs w:val="28"/>
        </w:rPr>
        <w:t xml:space="preserve"> por el sujeto activo en contra del sujeto pasivo</w:t>
      </w:r>
      <w:r w:rsidR="009A1FE7" w:rsidRPr="00CD542C">
        <w:rPr>
          <w:rFonts w:ascii="Times New Roman" w:hAnsi="Times New Roman"/>
          <w:sz w:val="28"/>
          <w:szCs w:val="28"/>
        </w:rPr>
        <w:t xml:space="preserve"> en el contexto del tipo, puede ser</w:t>
      </w:r>
      <w:r w:rsidR="0099647A" w:rsidRPr="00CD542C">
        <w:rPr>
          <w:rFonts w:ascii="Times New Roman" w:hAnsi="Times New Roman"/>
          <w:sz w:val="28"/>
          <w:szCs w:val="28"/>
        </w:rPr>
        <w:t xml:space="preserve"> determinante para verificar si existió esa intención.</w:t>
      </w:r>
    </w:p>
    <w:p w:rsidR="002A702A" w:rsidRPr="00CD542C" w:rsidRDefault="002A702A" w:rsidP="00CD542C">
      <w:pPr>
        <w:spacing w:after="0" w:line="240" w:lineRule="auto"/>
        <w:jc w:val="both"/>
        <w:rPr>
          <w:rFonts w:ascii="Times New Roman" w:hAnsi="Times New Roman"/>
          <w:sz w:val="28"/>
          <w:szCs w:val="28"/>
        </w:rPr>
      </w:pPr>
    </w:p>
    <w:p w:rsidR="00580C25"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5</w:t>
      </w:r>
      <w:r w:rsidR="00A273D0" w:rsidRPr="00CD542C">
        <w:rPr>
          <w:rFonts w:ascii="Times New Roman" w:hAnsi="Times New Roman"/>
          <w:sz w:val="28"/>
          <w:szCs w:val="28"/>
        </w:rPr>
        <w:t>4</w:t>
      </w:r>
      <w:r w:rsidR="009372E5" w:rsidRPr="00CD542C">
        <w:rPr>
          <w:rFonts w:ascii="Times New Roman" w:hAnsi="Times New Roman"/>
          <w:sz w:val="28"/>
          <w:szCs w:val="28"/>
        </w:rPr>
        <w:t xml:space="preserve">. </w:t>
      </w:r>
      <w:r w:rsidR="009A1FE7" w:rsidRPr="00CD542C">
        <w:rPr>
          <w:rFonts w:ascii="Times New Roman" w:hAnsi="Times New Roman"/>
          <w:sz w:val="28"/>
          <w:szCs w:val="28"/>
        </w:rPr>
        <w:t>Ahora bien, en cuan</w:t>
      </w:r>
      <w:r w:rsidR="00051905" w:rsidRPr="00CD542C">
        <w:rPr>
          <w:rFonts w:ascii="Times New Roman" w:hAnsi="Times New Roman"/>
          <w:sz w:val="28"/>
          <w:szCs w:val="28"/>
        </w:rPr>
        <w:t xml:space="preserve">to a la segunda parte del literal que establece que los antecedentes, indicios o su amenaza pueden comprender </w:t>
      </w:r>
      <w:r w:rsidR="00051905" w:rsidRPr="00CD542C">
        <w:rPr>
          <w:rFonts w:ascii="Times New Roman" w:hAnsi="Times New Roman"/>
          <w:b/>
          <w:sz w:val="28"/>
          <w:szCs w:val="28"/>
        </w:rPr>
        <w:t>cualquier tipo de violencia</w:t>
      </w:r>
      <w:r w:rsidR="009A1FE7" w:rsidRPr="00CD542C">
        <w:rPr>
          <w:rFonts w:ascii="Times New Roman" w:hAnsi="Times New Roman"/>
          <w:b/>
          <w:sz w:val="28"/>
          <w:szCs w:val="28"/>
        </w:rPr>
        <w:t>,</w:t>
      </w:r>
      <w:r w:rsidR="009A1FE7" w:rsidRPr="00CD542C">
        <w:rPr>
          <w:rFonts w:ascii="Times New Roman" w:hAnsi="Times New Roman"/>
          <w:sz w:val="28"/>
          <w:szCs w:val="28"/>
        </w:rPr>
        <w:t xml:space="preserve"> </w:t>
      </w:r>
      <w:r w:rsidR="0099647A" w:rsidRPr="00CD542C">
        <w:rPr>
          <w:rFonts w:ascii="Times New Roman" w:hAnsi="Times New Roman"/>
          <w:sz w:val="28"/>
          <w:szCs w:val="28"/>
        </w:rPr>
        <w:t>la Corte verifica que</w:t>
      </w:r>
      <w:r w:rsidR="0046752F" w:rsidRPr="00CD542C">
        <w:rPr>
          <w:rFonts w:ascii="Times New Roman" w:hAnsi="Times New Roman"/>
          <w:sz w:val="28"/>
          <w:szCs w:val="28"/>
        </w:rPr>
        <w:t xml:space="preserve"> este aparte</w:t>
      </w:r>
      <w:r w:rsidR="0099647A" w:rsidRPr="00CD542C">
        <w:rPr>
          <w:rFonts w:ascii="Times New Roman" w:hAnsi="Times New Roman"/>
          <w:sz w:val="28"/>
          <w:szCs w:val="28"/>
        </w:rPr>
        <w:t xml:space="preserve"> puede ser leído de forma amplia</w:t>
      </w:r>
      <w:r w:rsidR="000B169C" w:rsidRPr="00CD542C">
        <w:rPr>
          <w:rFonts w:ascii="Times New Roman" w:hAnsi="Times New Roman"/>
          <w:sz w:val="28"/>
          <w:szCs w:val="28"/>
        </w:rPr>
        <w:t xml:space="preserve"> y por lo tanto</w:t>
      </w:r>
      <w:r w:rsidR="00770E16" w:rsidRPr="00CD542C">
        <w:rPr>
          <w:rFonts w:ascii="Times New Roman" w:hAnsi="Times New Roman"/>
          <w:sz w:val="28"/>
          <w:szCs w:val="28"/>
        </w:rPr>
        <w:t xml:space="preserve"> hacer que la conducta</w:t>
      </w:r>
      <w:r w:rsidR="000B169C" w:rsidRPr="00CD542C">
        <w:rPr>
          <w:rFonts w:ascii="Times New Roman" w:hAnsi="Times New Roman"/>
          <w:sz w:val="28"/>
          <w:szCs w:val="28"/>
        </w:rPr>
        <w:t xml:space="preserve"> </w:t>
      </w:r>
      <w:r w:rsidR="0099647A" w:rsidRPr="00CD542C">
        <w:rPr>
          <w:rFonts w:ascii="Times New Roman" w:hAnsi="Times New Roman"/>
          <w:sz w:val="28"/>
          <w:szCs w:val="28"/>
        </w:rPr>
        <w:t>carezca de</w:t>
      </w:r>
      <w:r w:rsidR="000B169C" w:rsidRPr="00CD542C">
        <w:rPr>
          <w:rFonts w:ascii="Times New Roman" w:hAnsi="Times New Roman"/>
          <w:sz w:val="28"/>
          <w:szCs w:val="28"/>
        </w:rPr>
        <w:t xml:space="preserve"> precisión</w:t>
      </w:r>
      <w:r w:rsidR="00770E16" w:rsidRPr="00CD542C">
        <w:rPr>
          <w:rFonts w:ascii="Times New Roman" w:hAnsi="Times New Roman"/>
          <w:sz w:val="28"/>
          <w:szCs w:val="28"/>
        </w:rPr>
        <w:t xml:space="preserve"> y vulnere el principio de legalidad</w:t>
      </w:r>
      <w:r w:rsidR="00C622A8" w:rsidRPr="00CD542C">
        <w:rPr>
          <w:rFonts w:ascii="Times New Roman" w:hAnsi="Times New Roman"/>
          <w:sz w:val="28"/>
          <w:szCs w:val="28"/>
        </w:rPr>
        <w:t>.</w:t>
      </w:r>
      <w:r w:rsidR="0099647A" w:rsidRPr="00CD542C">
        <w:rPr>
          <w:rFonts w:ascii="Times New Roman" w:hAnsi="Times New Roman"/>
          <w:sz w:val="28"/>
          <w:szCs w:val="28"/>
        </w:rPr>
        <w:t xml:space="preserve"> </w:t>
      </w:r>
      <w:r w:rsidR="003F3A13" w:rsidRPr="00CD542C">
        <w:rPr>
          <w:rFonts w:ascii="Times New Roman" w:hAnsi="Times New Roman"/>
          <w:sz w:val="28"/>
          <w:szCs w:val="28"/>
        </w:rPr>
        <w:t>En esta línea</w:t>
      </w:r>
      <w:r w:rsidR="00770E16" w:rsidRPr="00CD542C">
        <w:rPr>
          <w:rFonts w:ascii="Times New Roman" w:hAnsi="Times New Roman"/>
          <w:sz w:val="28"/>
          <w:szCs w:val="28"/>
        </w:rPr>
        <w:t>, u</w:t>
      </w:r>
      <w:r w:rsidR="00972D1E" w:rsidRPr="00CD542C">
        <w:rPr>
          <w:rFonts w:ascii="Times New Roman" w:hAnsi="Times New Roman"/>
          <w:sz w:val="28"/>
          <w:szCs w:val="28"/>
        </w:rPr>
        <w:t>na lectura</w:t>
      </w:r>
      <w:r w:rsidR="00770E16" w:rsidRPr="00CD542C">
        <w:rPr>
          <w:rFonts w:ascii="Times New Roman" w:hAnsi="Times New Roman"/>
          <w:sz w:val="28"/>
          <w:szCs w:val="28"/>
        </w:rPr>
        <w:t xml:space="preserve"> </w:t>
      </w:r>
      <w:r w:rsidR="00552E52" w:rsidRPr="00CD542C">
        <w:rPr>
          <w:rFonts w:ascii="Times New Roman" w:hAnsi="Times New Roman"/>
          <w:sz w:val="28"/>
          <w:szCs w:val="28"/>
        </w:rPr>
        <w:t xml:space="preserve">de dicha </w:t>
      </w:r>
      <w:r w:rsidR="0092399B" w:rsidRPr="00CD542C">
        <w:rPr>
          <w:rFonts w:ascii="Times New Roman" w:hAnsi="Times New Roman"/>
          <w:sz w:val="28"/>
          <w:szCs w:val="28"/>
        </w:rPr>
        <w:t>modalidad</w:t>
      </w:r>
      <w:r w:rsidR="009A1FE7" w:rsidRPr="00CD542C">
        <w:rPr>
          <w:rFonts w:ascii="Times New Roman" w:hAnsi="Times New Roman"/>
          <w:sz w:val="28"/>
          <w:szCs w:val="28"/>
        </w:rPr>
        <w:t xml:space="preserve"> de la circunstancia </w:t>
      </w:r>
      <w:r w:rsidR="0092399B" w:rsidRPr="00CD542C">
        <w:rPr>
          <w:rFonts w:ascii="Times New Roman" w:hAnsi="Times New Roman"/>
          <w:sz w:val="28"/>
          <w:szCs w:val="28"/>
        </w:rPr>
        <w:t>supone una indeterminación de la conducta, puesto que</w:t>
      </w:r>
      <w:r w:rsidR="008241C1" w:rsidRPr="00CD542C">
        <w:rPr>
          <w:rFonts w:ascii="Times New Roman" w:hAnsi="Times New Roman"/>
          <w:sz w:val="28"/>
          <w:szCs w:val="28"/>
        </w:rPr>
        <w:t xml:space="preserve"> al no clasificar el tipo de violencia se establece un criterio extremadamente amplio que no permite saber cuál es la conducta reprochada</w:t>
      </w:r>
      <w:r w:rsidR="00291798" w:rsidRPr="00CD542C">
        <w:rPr>
          <w:rFonts w:ascii="Times New Roman" w:hAnsi="Times New Roman"/>
          <w:sz w:val="28"/>
          <w:szCs w:val="28"/>
        </w:rPr>
        <w:t>,</w:t>
      </w:r>
      <w:r w:rsidR="008241C1" w:rsidRPr="00CD542C">
        <w:rPr>
          <w:rFonts w:ascii="Times New Roman" w:hAnsi="Times New Roman"/>
          <w:sz w:val="28"/>
          <w:szCs w:val="28"/>
        </w:rPr>
        <w:t xml:space="preserve"> que lleva</w:t>
      </w:r>
      <w:r w:rsidR="00552E52" w:rsidRPr="00CD542C">
        <w:rPr>
          <w:rFonts w:ascii="Times New Roman" w:hAnsi="Times New Roman"/>
          <w:sz w:val="28"/>
          <w:szCs w:val="28"/>
        </w:rPr>
        <w:t>ría</w:t>
      </w:r>
      <w:r w:rsidR="008241C1" w:rsidRPr="00CD542C">
        <w:rPr>
          <w:rFonts w:ascii="Times New Roman" w:hAnsi="Times New Roman"/>
          <w:sz w:val="28"/>
          <w:szCs w:val="28"/>
        </w:rPr>
        <w:t xml:space="preserve"> a posiblemente</w:t>
      </w:r>
      <w:r w:rsidR="00051905" w:rsidRPr="00CD542C">
        <w:rPr>
          <w:rFonts w:ascii="Times New Roman" w:hAnsi="Times New Roman"/>
          <w:sz w:val="28"/>
          <w:szCs w:val="28"/>
        </w:rPr>
        <w:t xml:space="preserve"> a</w:t>
      </w:r>
      <w:r w:rsidR="008241C1" w:rsidRPr="00CD542C">
        <w:rPr>
          <w:rFonts w:ascii="Times New Roman" w:hAnsi="Times New Roman"/>
          <w:sz w:val="28"/>
          <w:szCs w:val="28"/>
        </w:rPr>
        <w:t xml:space="preserve"> establecer una intención.</w:t>
      </w:r>
      <w:r w:rsidR="009A1FE7" w:rsidRPr="00CD542C">
        <w:rPr>
          <w:rFonts w:ascii="Times New Roman" w:hAnsi="Times New Roman"/>
          <w:sz w:val="28"/>
          <w:szCs w:val="28"/>
        </w:rPr>
        <w:t xml:space="preserve"> </w:t>
      </w:r>
    </w:p>
    <w:p w:rsidR="00580C25" w:rsidRPr="00CD542C" w:rsidRDefault="00580C25" w:rsidP="00CD542C">
      <w:pPr>
        <w:spacing w:after="0" w:line="240" w:lineRule="auto"/>
        <w:jc w:val="both"/>
        <w:rPr>
          <w:rFonts w:ascii="Times New Roman" w:hAnsi="Times New Roman"/>
          <w:sz w:val="28"/>
          <w:szCs w:val="28"/>
        </w:rPr>
      </w:pPr>
    </w:p>
    <w:p w:rsidR="00236705" w:rsidRPr="00CD542C" w:rsidRDefault="009A1FE7" w:rsidP="00CD542C">
      <w:pPr>
        <w:spacing w:after="0" w:line="240" w:lineRule="auto"/>
        <w:jc w:val="both"/>
        <w:rPr>
          <w:rFonts w:ascii="Times New Roman" w:hAnsi="Times New Roman"/>
          <w:sz w:val="28"/>
          <w:szCs w:val="28"/>
        </w:rPr>
      </w:pPr>
      <w:r w:rsidRPr="00CD542C">
        <w:rPr>
          <w:rFonts w:ascii="Times New Roman" w:hAnsi="Times New Roman"/>
          <w:sz w:val="28"/>
          <w:szCs w:val="28"/>
        </w:rPr>
        <w:t>Lo anterior</w:t>
      </w:r>
      <w:r w:rsidR="00552E52" w:rsidRPr="00CD542C">
        <w:rPr>
          <w:rFonts w:ascii="Times New Roman" w:hAnsi="Times New Roman"/>
          <w:sz w:val="28"/>
          <w:szCs w:val="28"/>
        </w:rPr>
        <w:t>,</w:t>
      </w:r>
      <w:r w:rsidRPr="00CD542C">
        <w:rPr>
          <w:rFonts w:ascii="Times New Roman" w:hAnsi="Times New Roman"/>
          <w:sz w:val="28"/>
          <w:szCs w:val="28"/>
        </w:rPr>
        <w:t xml:space="preserve"> porque</w:t>
      </w:r>
      <w:r w:rsidR="00972D1E" w:rsidRPr="00CD542C">
        <w:rPr>
          <w:rFonts w:ascii="Times New Roman" w:hAnsi="Times New Roman"/>
          <w:sz w:val="28"/>
          <w:szCs w:val="28"/>
        </w:rPr>
        <w:t xml:space="preserve"> </w:t>
      </w:r>
      <w:r w:rsidR="00E25664" w:rsidRPr="00CD542C">
        <w:rPr>
          <w:rFonts w:ascii="Times New Roman" w:hAnsi="Times New Roman"/>
          <w:sz w:val="28"/>
          <w:szCs w:val="28"/>
        </w:rPr>
        <w:t>no necesariamente cualquier tipo de</w:t>
      </w:r>
      <w:r w:rsidR="00341652" w:rsidRPr="00CD542C">
        <w:rPr>
          <w:rFonts w:ascii="Times New Roman" w:hAnsi="Times New Roman"/>
          <w:sz w:val="28"/>
          <w:szCs w:val="28"/>
        </w:rPr>
        <w:t xml:space="preserve"> viole</w:t>
      </w:r>
      <w:r w:rsidR="00E25664" w:rsidRPr="00CD542C">
        <w:rPr>
          <w:rFonts w:ascii="Times New Roman" w:hAnsi="Times New Roman"/>
          <w:sz w:val="28"/>
          <w:szCs w:val="28"/>
        </w:rPr>
        <w:t>ncia tiene el grado o una</w:t>
      </w:r>
      <w:r w:rsidR="00341652" w:rsidRPr="00CD542C">
        <w:rPr>
          <w:rFonts w:ascii="Times New Roman" w:hAnsi="Times New Roman"/>
          <w:sz w:val="28"/>
          <w:szCs w:val="28"/>
        </w:rPr>
        <w:t xml:space="preserve"> presencia objetiva de discriminación que configure los elementos contextuales de la intención de matar por razones de género.</w:t>
      </w:r>
      <w:r w:rsidRPr="00CD542C">
        <w:rPr>
          <w:rFonts w:ascii="Times New Roman" w:hAnsi="Times New Roman"/>
          <w:sz w:val="28"/>
          <w:szCs w:val="28"/>
        </w:rPr>
        <w:t xml:space="preserve"> Esto</w:t>
      </w:r>
      <w:r w:rsidR="00E25664" w:rsidRPr="00CD542C">
        <w:rPr>
          <w:rFonts w:ascii="Times New Roman" w:hAnsi="Times New Roman"/>
          <w:sz w:val="28"/>
          <w:szCs w:val="28"/>
        </w:rPr>
        <w:t>, puesto que no toda violencia contra una m</w:t>
      </w:r>
      <w:r w:rsidR="00770E16" w:rsidRPr="00CD542C">
        <w:rPr>
          <w:rFonts w:ascii="Times New Roman" w:hAnsi="Times New Roman"/>
          <w:sz w:val="28"/>
          <w:szCs w:val="28"/>
        </w:rPr>
        <w:t>ujer</w:t>
      </w:r>
      <w:r w:rsidR="00E25664" w:rsidRPr="00CD542C">
        <w:rPr>
          <w:rFonts w:ascii="Times New Roman" w:hAnsi="Times New Roman"/>
          <w:sz w:val="28"/>
          <w:szCs w:val="28"/>
        </w:rPr>
        <w:t xml:space="preserve"> es violencia de género </w:t>
      </w:r>
      <w:r w:rsidR="00770E16" w:rsidRPr="00CD542C">
        <w:rPr>
          <w:rFonts w:ascii="Times New Roman" w:hAnsi="Times New Roman"/>
          <w:sz w:val="28"/>
          <w:szCs w:val="28"/>
        </w:rPr>
        <w:t xml:space="preserve">y aun cuando se trate de violencia de género no todas las acciones </w:t>
      </w:r>
      <w:r w:rsidR="00A727F7" w:rsidRPr="00CD542C">
        <w:rPr>
          <w:rFonts w:ascii="Times New Roman" w:hAnsi="Times New Roman"/>
          <w:sz w:val="28"/>
          <w:szCs w:val="28"/>
        </w:rPr>
        <w:t>previas a un hecho genera</w:t>
      </w:r>
      <w:r w:rsidR="000E1A49" w:rsidRPr="00CD542C">
        <w:rPr>
          <w:rFonts w:ascii="Times New Roman" w:hAnsi="Times New Roman"/>
          <w:sz w:val="28"/>
          <w:szCs w:val="28"/>
        </w:rPr>
        <w:t>n</w:t>
      </w:r>
      <w:r w:rsidR="00552E52" w:rsidRPr="00CD542C">
        <w:rPr>
          <w:rFonts w:ascii="Times New Roman" w:hAnsi="Times New Roman"/>
          <w:sz w:val="28"/>
          <w:szCs w:val="28"/>
        </w:rPr>
        <w:t xml:space="preserve"> una cadena o cí</w:t>
      </w:r>
      <w:r w:rsidR="00770E16" w:rsidRPr="00CD542C">
        <w:rPr>
          <w:rFonts w:ascii="Times New Roman" w:hAnsi="Times New Roman"/>
          <w:sz w:val="28"/>
          <w:szCs w:val="28"/>
        </w:rPr>
        <w:t>rculo de violencia que cree</w:t>
      </w:r>
      <w:r w:rsidRPr="00CD542C">
        <w:rPr>
          <w:rFonts w:ascii="Times New Roman" w:hAnsi="Times New Roman"/>
          <w:sz w:val="28"/>
          <w:szCs w:val="28"/>
        </w:rPr>
        <w:t xml:space="preserve"> un patrón</w:t>
      </w:r>
      <w:r w:rsidR="00E25664" w:rsidRPr="00CD542C">
        <w:rPr>
          <w:rFonts w:ascii="Times New Roman" w:hAnsi="Times New Roman"/>
          <w:sz w:val="28"/>
          <w:szCs w:val="28"/>
        </w:rPr>
        <w:t xml:space="preserve"> de discriminación</w:t>
      </w:r>
      <w:r w:rsidR="00770E16" w:rsidRPr="00CD542C">
        <w:rPr>
          <w:rFonts w:ascii="Times New Roman" w:hAnsi="Times New Roman"/>
          <w:sz w:val="28"/>
          <w:szCs w:val="28"/>
        </w:rPr>
        <w:t xml:space="preserve"> que</w:t>
      </w:r>
      <w:r w:rsidRPr="00CD542C">
        <w:rPr>
          <w:rFonts w:ascii="Times New Roman" w:hAnsi="Times New Roman"/>
          <w:sz w:val="28"/>
          <w:szCs w:val="28"/>
        </w:rPr>
        <w:t xml:space="preserve"> pueda demostrar</w:t>
      </w:r>
      <w:r w:rsidR="00770E16" w:rsidRPr="00CD542C">
        <w:rPr>
          <w:rFonts w:ascii="Times New Roman" w:hAnsi="Times New Roman"/>
          <w:sz w:val="28"/>
          <w:szCs w:val="28"/>
        </w:rPr>
        <w:t xml:space="preserve"> la intención de matar por razones de género.</w:t>
      </w:r>
      <w:r w:rsidR="00115474" w:rsidRPr="00CD542C">
        <w:rPr>
          <w:rFonts w:ascii="Times New Roman" w:hAnsi="Times New Roman"/>
          <w:sz w:val="28"/>
          <w:szCs w:val="28"/>
        </w:rPr>
        <w:t xml:space="preserve"> </w:t>
      </w:r>
      <w:r w:rsidR="00E24492" w:rsidRPr="00CD542C">
        <w:rPr>
          <w:rFonts w:ascii="Times New Roman" w:hAnsi="Times New Roman"/>
          <w:sz w:val="28"/>
          <w:szCs w:val="28"/>
        </w:rPr>
        <w:t>Por ejemplo, el homicidio de una mujer después de un altercado sobre límites de propiedad de vecinos, no necesariamente evidencia un elemento de discriminación en razón del género</w:t>
      </w:r>
      <w:r w:rsidR="001664CD" w:rsidRPr="00CD542C">
        <w:rPr>
          <w:rFonts w:ascii="Times New Roman" w:hAnsi="Times New Roman"/>
          <w:sz w:val="28"/>
          <w:szCs w:val="28"/>
        </w:rPr>
        <w:t xml:space="preserve"> que pueda configurar un trato bajo patrones de desigualdad</w:t>
      </w:r>
      <w:r w:rsidR="00A739DD" w:rsidRPr="00CD542C">
        <w:rPr>
          <w:rFonts w:ascii="Times New Roman" w:hAnsi="Times New Roman"/>
          <w:sz w:val="28"/>
          <w:szCs w:val="28"/>
        </w:rPr>
        <w:t xml:space="preserve"> y estereotipo</w:t>
      </w:r>
      <w:r w:rsidR="001664CD" w:rsidRPr="00CD542C">
        <w:rPr>
          <w:rFonts w:ascii="Times New Roman" w:hAnsi="Times New Roman"/>
          <w:sz w:val="28"/>
          <w:szCs w:val="28"/>
        </w:rPr>
        <w:t>s</w:t>
      </w:r>
      <w:r w:rsidR="00A739DD" w:rsidRPr="00CD542C">
        <w:rPr>
          <w:rFonts w:ascii="Times New Roman" w:hAnsi="Times New Roman"/>
          <w:sz w:val="28"/>
          <w:szCs w:val="28"/>
        </w:rPr>
        <w:t xml:space="preserve"> de género</w:t>
      </w:r>
      <w:r w:rsidR="00D62905" w:rsidRPr="00CD542C">
        <w:rPr>
          <w:rFonts w:ascii="Times New Roman" w:hAnsi="Times New Roman"/>
          <w:sz w:val="28"/>
          <w:szCs w:val="28"/>
        </w:rPr>
        <w:t>, pero sí</w:t>
      </w:r>
      <w:r w:rsidR="00E24492" w:rsidRPr="00CD542C">
        <w:rPr>
          <w:rFonts w:ascii="Times New Roman" w:hAnsi="Times New Roman"/>
          <w:sz w:val="28"/>
          <w:szCs w:val="28"/>
        </w:rPr>
        <w:t xml:space="preserve"> constituye un antecedente de violencia.</w:t>
      </w:r>
      <w:r w:rsidR="00A739DD" w:rsidRPr="00CD542C">
        <w:rPr>
          <w:rFonts w:ascii="Times New Roman" w:hAnsi="Times New Roman"/>
          <w:sz w:val="28"/>
          <w:szCs w:val="28"/>
        </w:rPr>
        <w:t xml:space="preserve"> De la misma forma, el homicidio de una mujer después de  abusos sexuales, mutilaciones y t</w:t>
      </w:r>
      <w:r w:rsidR="00D62905" w:rsidRPr="00CD542C">
        <w:rPr>
          <w:rFonts w:ascii="Times New Roman" w:hAnsi="Times New Roman"/>
          <w:sz w:val="28"/>
          <w:szCs w:val="28"/>
        </w:rPr>
        <w:t>ratos crueles y degradantes sí</w:t>
      </w:r>
      <w:r w:rsidR="00A739DD" w:rsidRPr="00CD542C">
        <w:rPr>
          <w:rFonts w:ascii="Times New Roman" w:hAnsi="Times New Roman"/>
          <w:sz w:val="28"/>
          <w:szCs w:val="28"/>
        </w:rPr>
        <w:t xml:space="preserve"> constituyen un antecedente claro que evidencia un móvil de matar en razón del género. </w:t>
      </w:r>
    </w:p>
    <w:p w:rsidR="00236705" w:rsidRPr="00CD542C" w:rsidRDefault="00236705" w:rsidP="00CD542C">
      <w:pPr>
        <w:spacing w:after="0" w:line="240" w:lineRule="auto"/>
        <w:jc w:val="both"/>
        <w:rPr>
          <w:rFonts w:ascii="Times New Roman" w:hAnsi="Times New Roman"/>
          <w:sz w:val="28"/>
          <w:szCs w:val="28"/>
        </w:rPr>
      </w:pPr>
    </w:p>
    <w:p w:rsidR="00972D1E"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5</w:t>
      </w:r>
      <w:r w:rsidR="00A273D0" w:rsidRPr="00CD542C">
        <w:rPr>
          <w:rFonts w:ascii="Times New Roman" w:hAnsi="Times New Roman"/>
          <w:sz w:val="28"/>
          <w:szCs w:val="28"/>
        </w:rPr>
        <w:t xml:space="preserve">5. </w:t>
      </w:r>
      <w:r w:rsidR="00B83B51" w:rsidRPr="00CD542C">
        <w:rPr>
          <w:rFonts w:ascii="Times New Roman" w:hAnsi="Times New Roman"/>
          <w:sz w:val="28"/>
          <w:szCs w:val="28"/>
        </w:rPr>
        <w:t>El elemento subjetivo del tipo</w:t>
      </w:r>
      <w:r w:rsidR="00236705" w:rsidRPr="00CD542C">
        <w:rPr>
          <w:rFonts w:ascii="Times New Roman" w:hAnsi="Times New Roman"/>
          <w:sz w:val="28"/>
          <w:szCs w:val="28"/>
        </w:rPr>
        <w:t xml:space="preserve"> en el delito d</w:t>
      </w:r>
      <w:r w:rsidR="00B83B51" w:rsidRPr="00CD542C">
        <w:rPr>
          <w:rFonts w:ascii="Times New Roman" w:hAnsi="Times New Roman"/>
          <w:sz w:val="28"/>
          <w:szCs w:val="28"/>
        </w:rPr>
        <w:t>el feminicidio debe ser probado</w:t>
      </w:r>
      <w:r w:rsidR="00236705" w:rsidRPr="00CD542C">
        <w:rPr>
          <w:rFonts w:ascii="Times New Roman" w:hAnsi="Times New Roman"/>
          <w:sz w:val="28"/>
          <w:szCs w:val="28"/>
        </w:rPr>
        <w:t xml:space="preserve"> a partir de criterios que demuestren que efectivamente e</w:t>
      </w:r>
      <w:r w:rsidR="00051905" w:rsidRPr="00CD542C">
        <w:rPr>
          <w:rFonts w:ascii="Times New Roman" w:hAnsi="Times New Roman"/>
          <w:sz w:val="28"/>
          <w:szCs w:val="28"/>
        </w:rPr>
        <w:t>xistió una intención de matar por razón del</w:t>
      </w:r>
      <w:r w:rsidR="00236705" w:rsidRPr="00CD542C">
        <w:rPr>
          <w:rFonts w:ascii="Times New Roman" w:hAnsi="Times New Roman"/>
          <w:sz w:val="28"/>
          <w:szCs w:val="28"/>
        </w:rPr>
        <w:t xml:space="preserve"> género. Lo anterior, por cuanto si no se puede verificar ese móvil se estaría frente a un homicidio y no frente a un feminicidio. </w:t>
      </w:r>
      <w:r w:rsidR="003A39D3" w:rsidRPr="00CD542C">
        <w:rPr>
          <w:rFonts w:ascii="Times New Roman" w:hAnsi="Times New Roman"/>
          <w:sz w:val="28"/>
          <w:szCs w:val="28"/>
        </w:rPr>
        <w:t xml:space="preserve"> Así, </w:t>
      </w:r>
      <w:r w:rsidR="00236705" w:rsidRPr="00CD542C">
        <w:rPr>
          <w:rFonts w:ascii="Times New Roman" w:hAnsi="Times New Roman"/>
          <w:sz w:val="28"/>
          <w:szCs w:val="28"/>
        </w:rPr>
        <w:t>no</w:t>
      </w:r>
      <w:r w:rsidR="003A39D3" w:rsidRPr="00CD542C">
        <w:rPr>
          <w:rFonts w:ascii="Times New Roman" w:hAnsi="Times New Roman"/>
          <w:sz w:val="28"/>
          <w:szCs w:val="28"/>
        </w:rPr>
        <w:t xml:space="preserve"> es posible </w:t>
      </w:r>
      <w:r w:rsidR="00051905" w:rsidRPr="00CD542C">
        <w:rPr>
          <w:rFonts w:ascii="Times New Roman" w:hAnsi="Times New Roman"/>
          <w:sz w:val="28"/>
          <w:szCs w:val="28"/>
        </w:rPr>
        <w:t>admitir un elemento ambigü</w:t>
      </w:r>
      <w:r w:rsidR="00F3306F" w:rsidRPr="00CD542C">
        <w:rPr>
          <w:rFonts w:ascii="Times New Roman" w:hAnsi="Times New Roman"/>
          <w:sz w:val="28"/>
          <w:szCs w:val="28"/>
        </w:rPr>
        <w:t>o o impreciso en la circunstancia que sirve para estab</w:t>
      </w:r>
      <w:r w:rsidR="00BC259B" w:rsidRPr="00CD542C">
        <w:rPr>
          <w:rFonts w:ascii="Times New Roman" w:hAnsi="Times New Roman"/>
          <w:sz w:val="28"/>
          <w:szCs w:val="28"/>
        </w:rPr>
        <w:t>lecer el móvil de la acción, y é</w:t>
      </w:r>
      <w:r w:rsidR="00F3306F" w:rsidRPr="00CD542C">
        <w:rPr>
          <w:rFonts w:ascii="Times New Roman" w:hAnsi="Times New Roman"/>
          <w:sz w:val="28"/>
          <w:szCs w:val="28"/>
        </w:rPr>
        <w:t>sta debe guardar relación con la conducta.</w:t>
      </w:r>
      <w:r w:rsidR="00236705" w:rsidRPr="00CD542C">
        <w:rPr>
          <w:rFonts w:ascii="Times New Roman" w:hAnsi="Times New Roman"/>
          <w:sz w:val="28"/>
          <w:szCs w:val="28"/>
        </w:rPr>
        <w:t xml:space="preserve"> </w:t>
      </w:r>
    </w:p>
    <w:p w:rsidR="00972D1E" w:rsidRPr="00CD542C" w:rsidRDefault="00972D1E" w:rsidP="00CD542C">
      <w:pPr>
        <w:spacing w:after="0" w:line="240" w:lineRule="auto"/>
        <w:rPr>
          <w:rFonts w:ascii="Times New Roman" w:hAnsi="Times New Roman"/>
          <w:sz w:val="28"/>
          <w:szCs w:val="28"/>
        </w:rPr>
      </w:pPr>
    </w:p>
    <w:p w:rsidR="00580C25" w:rsidRPr="00CD542C" w:rsidRDefault="00B07C96" w:rsidP="00CD542C">
      <w:pPr>
        <w:spacing w:after="0" w:line="240" w:lineRule="auto"/>
        <w:jc w:val="both"/>
        <w:rPr>
          <w:rFonts w:ascii="Times New Roman" w:hAnsi="Times New Roman"/>
          <w:sz w:val="28"/>
          <w:szCs w:val="28"/>
        </w:rPr>
      </w:pPr>
      <w:r w:rsidRPr="00CD542C">
        <w:rPr>
          <w:rFonts w:ascii="Times New Roman" w:hAnsi="Times New Roman"/>
          <w:sz w:val="28"/>
          <w:szCs w:val="28"/>
        </w:rPr>
        <w:t>No obstante, la misma norma t</w:t>
      </w:r>
      <w:r w:rsidR="0043353B" w:rsidRPr="00CD542C">
        <w:rPr>
          <w:rFonts w:ascii="Times New Roman" w:hAnsi="Times New Roman"/>
          <w:sz w:val="28"/>
          <w:szCs w:val="28"/>
        </w:rPr>
        <w:t>ambién</w:t>
      </w:r>
      <w:r w:rsidRPr="00CD542C">
        <w:rPr>
          <w:rFonts w:ascii="Times New Roman" w:hAnsi="Times New Roman"/>
          <w:sz w:val="28"/>
          <w:szCs w:val="28"/>
        </w:rPr>
        <w:t xml:space="preserve"> </w:t>
      </w:r>
      <w:r w:rsidR="00051905" w:rsidRPr="00CD542C">
        <w:rPr>
          <w:rFonts w:ascii="Times New Roman" w:hAnsi="Times New Roman"/>
          <w:sz w:val="28"/>
          <w:szCs w:val="28"/>
        </w:rPr>
        <w:t>admite</w:t>
      </w:r>
      <w:r w:rsidR="00C64A26" w:rsidRPr="00CD542C">
        <w:rPr>
          <w:rFonts w:ascii="Times New Roman" w:hAnsi="Times New Roman"/>
          <w:sz w:val="28"/>
          <w:szCs w:val="28"/>
        </w:rPr>
        <w:t xml:space="preserve"> </w:t>
      </w:r>
      <w:r w:rsidRPr="00CD542C">
        <w:rPr>
          <w:rFonts w:ascii="Times New Roman" w:hAnsi="Times New Roman"/>
          <w:sz w:val="28"/>
          <w:szCs w:val="28"/>
        </w:rPr>
        <w:t>una lectura que entiende que la violencia a la que se hace referencia se califica como violencia de género y por motivos de discriminación.</w:t>
      </w:r>
      <w:r w:rsidR="00A739DD" w:rsidRPr="00CD542C">
        <w:rPr>
          <w:rFonts w:ascii="Times New Roman" w:hAnsi="Times New Roman"/>
          <w:sz w:val="28"/>
          <w:szCs w:val="28"/>
        </w:rPr>
        <w:t xml:space="preserve"> En este sentido, la posible apertura de la descripción de la conducta</w:t>
      </w:r>
      <w:r w:rsidR="003A5210" w:rsidRPr="00CD542C">
        <w:rPr>
          <w:rFonts w:ascii="Times New Roman" w:hAnsi="Times New Roman"/>
          <w:sz w:val="28"/>
          <w:szCs w:val="28"/>
        </w:rPr>
        <w:t>, como un tipo penal abierto,</w:t>
      </w:r>
      <w:r w:rsidR="00A739DD" w:rsidRPr="00CD542C">
        <w:rPr>
          <w:rFonts w:ascii="Times New Roman" w:hAnsi="Times New Roman"/>
          <w:sz w:val="28"/>
          <w:szCs w:val="28"/>
        </w:rPr>
        <w:t xml:space="preserve"> puede ser superada mediante la remisión a referentes especializados</w:t>
      </w:r>
      <w:r w:rsidR="0046752F" w:rsidRPr="00CD542C">
        <w:rPr>
          <w:rFonts w:ascii="Times New Roman" w:hAnsi="Times New Roman"/>
          <w:sz w:val="28"/>
          <w:szCs w:val="28"/>
        </w:rPr>
        <w:t>, lo cual es</w:t>
      </w:r>
      <w:r w:rsidR="00660B25" w:rsidRPr="00CD542C">
        <w:rPr>
          <w:rFonts w:ascii="Times New Roman" w:hAnsi="Times New Roman"/>
          <w:sz w:val="28"/>
          <w:szCs w:val="28"/>
        </w:rPr>
        <w:t xml:space="preserve"> particularmente </w:t>
      </w:r>
      <w:r w:rsidR="00660B25" w:rsidRPr="00CD542C">
        <w:rPr>
          <w:rFonts w:ascii="Times New Roman" w:hAnsi="Times New Roman"/>
          <w:sz w:val="28"/>
          <w:szCs w:val="28"/>
        </w:rPr>
        <w:lastRenderedPageBreak/>
        <w:t>importante superar en razón a los bienes jurídicos que busca proteger la norma</w:t>
      </w:r>
      <w:r w:rsidR="00A739DD" w:rsidRPr="00CD542C">
        <w:rPr>
          <w:rFonts w:ascii="Times New Roman" w:hAnsi="Times New Roman"/>
          <w:sz w:val="28"/>
          <w:szCs w:val="28"/>
        </w:rPr>
        <w:t>.</w:t>
      </w:r>
      <w:r w:rsidR="00D164C4" w:rsidRPr="00CD542C">
        <w:rPr>
          <w:rFonts w:ascii="Times New Roman" w:hAnsi="Times New Roman"/>
          <w:sz w:val="28"/>
          <w:szCs w:val="28"/>
        </w:rPr>
        <w:t xml:space="preserve"> A su vez, requiere un ejercicio que permita ajustar la tipificación de la conducta punible </w:t>
      </w:r>
      <w:r w:rsidR="00D17251" w:rsidRPr="00CD542C">
        <w:rPr>
          <w:rFonts w:ascii="Times New Roman" w:hAnsi="Times New Roman"/>
          <w:sz w:val="28"/>
          <w:szCs w:val="28"/>
        </w:rPr>
        <w:t>para que integre l</w:t>
      </w:r>
      <w:r w:rsidR="00D164C4" w:rsidRPr="00CD542C">
        <w:rPr>
          <w:rFonts w:ascii="Times New Roman" w:hAnsi="Times New Roman"/>
          <w:sz w:val="28"/>
          <w:szCs w:val="28"/>
        </w:rPr>
        <w:t>a perspectiva de género</w:t>
      </w:r>
      <w:r w:rsidR="00D17251" w:rsidRPr="00CD542C">
        <w:rPr>
          <w:rFonts w:ascii="Times New Roman" w:hAnsi="Times New Roman"/>
          <w:sz w:val="28"/>
          <w:szCs w:val="28"/>
        </w:rPr>
        <w:t xml:space="preserve"> que motiva su objeto</w:t>
      </w:r>
      <w:r w:rsidR="00D164C4" w:rsidRPr="00CD542C">
        <w:rPr>
          <w:rFonts w:ascii="Times New Roman" w:hAnsi="Times New Roman"/>
          <w:sz w:val="28"/>
          <w:szCs w:val="28"/>
        </w:rPr>
        <w:t xml:space="preserve">. </w:t>
      </w:r>
      <w:r w:rsidRPr="00CD542C">
        <w:rPr>
          <w:rFonts w:ascii="Times New Roman" w:hAnsi="Times New Roman"/>
          <w:sz w:val="28"/>
          <w:szCs w:val="28"/>
        </w:rPr>
        <w:t xml:space="preserve"> </w:t>
      </w:r>
      <w:r w:rsidR="00972D1E" w:rsidRPr="00CD542C">
        <w:rPr>
          <w:rFonts w:ascii="Times New Roman" w:hAnsi="Times New Roman"/>
          <w:sz w:val="28"/>
          <w:szCs w:val="28"/>
        </w:rPr>
        <w:t>Por lo tanto, la existencia de antecedentes, indicios o amenaza de</w:t>
      </w:r>
      <w:r w:rsidRPr="00CD542C">
        <w:rPr>
          <w:rFonts w:ascii="Times New Roman" w:hAnsi="Times New Roman"/>
          <w:sz w:val="28"/>
          <w:szCs w:val="28"/>
        </w:rPr>
        <w:t xml:space="preserve"> cualquier tipo de</w:t>
      </w:r>
      <w:r w:rsidR="00972D1E" w:rsidRPr="00CD542C">
        <w:rPr>
          <w:rFonts w:ascii="Times New Roman" w:hAnsi="Times New Roman"/>
          <w:sz w:val="28"/>
          <w:szCs w:val="28"/>
        </w:rPr>
        <w:t xml:space="preserve"> violencia</w:t>
      </w:r>
      <w:r w:rsidRPr="00CD542C">
        <w:rPr>
          <w:rFonts w:ascii="Times New Roman" w:hAnsi="Times New Roman"/>
          <w:sz w:val="28"/>
          <w:szCs w:val="28"/>
        </w:rPr>
        <w:t xml:space="preserve"> en los diferentes ámbitos sociales</w:t>
      </w:r>
      <w:r w:rsidR="00972D1E" w:rsidRPr="00CD542C">
        <w:rPr>
          <w:rFonts w:ascii="Times New Roman" w:hAnsi="Times New Roman"/>
          <w:sz w:val="28"/>
          <w:szCs w:val="28"/>
        </w:rPr>
        <w:t xml:space="preserve"> no se puede abordar de forma descontextualizada de la conducta</w:t>
      </w:r>
      <w:r w:rsidR="0043353B" w:rsidRPr="00CD542C">
        <w:rPr>
          <w:rFonts w:ascii="Times New Roman" w:hAnsi="Times New Roman"/>
          <w:sz w:val="28"/>
          <w:szCs w:val="28"/>
        </w:rPr>
        <w:t xml:space="preserve"> </w:t>
      </w:r>
      <w:r w:rsidR="00972D1E" w:rsidRPr="00CD542C">
        <w:rPr>
          <w:rFonts w:ascii="Times New Roman" w:hAnsi="Times New Roman"/>
          <w:sz w:val="28"/>
          <w:szCs w:val="28"/>
        </w:rPr>
        <w:t>ya que justamente se ha establecido para verificar la presencia o ausencia de motivos o razones de género que originan o explican la muerte violenta de la mujer.</w:t>
      </w:r>
      <w:r w:rsidR="00A727F7" w:rsidRPr="00CD542C">
        <w:rPr>
          <w:rFonts w:ascii="Times New Roman" w:hAnsi="Times New Roman"/>
          <w:sz w:val="28"/>
          <w:szCs w:val="28"/>
        </w:rPr>
        <w:t xml:space="preserve"> Así, el artículo 1</w:t>
      </w:r>
      <w:r w:rsidR="00051905" w:rsidRPr="00CD542C">
        <w:rPr>
          <w:rFonts w:ascii="Times New Roman" w:hAnsi="Times New Roman"/>
          <w:sz w:val="28"/>
          <w:szCs w:val="28"/>
        </w:rPr>
        <w:t>°</w:t>
      </w:r>
      <w:r w:rsidRPr="00CD542C">
        <w:rPr>
          <w:rFonts w:ascii="Times New Roman" w:hAnsi="Times New Roman"/>
          <w:sz w:val="28"/>
          <w:szCs w:val="28"/>
        </w:rPr>
        <w:t xml:space="preserve"> de la Ley 1761 de 2015 establece como objeto de la ley la garantía de la “</w:t>
      </w:r>
      <w:r w:rsidRPr="00CD542C">
        <w:rPr>
          <w:rFonts w:ascii="Times New Roman" w:hAnsi="Times New Roman"/>
          <w:i/>
          <w:sz w:val="28"/>
          <w:szCs w:val="28"/>
        </w:rPr>
        <w:t>investigación y sanción de las violencias contra las mujeres por motivos de género y discriminación (…) de acuerdo con los principios de igualdad y no discriminación</w:t>
      </w:r>
      <w:r w:rsidRPr="00CD542C">
        <w:rPr>
          <w:rFonts w:ascii="Times New Roman" w:hAnsi="Times New Roman"/>
          <w:sz w:val="28"/>
          <w:szCs w:val="28"/>
        </w:rPr>
        <w:t xml:space="preserve">”. </w:t>
      </w:r>
    </w:p>
    <w:p w:rsidR="00580C25" w:rsidRPr="00CD542C" w:rsidRDefault="00580C25" w:rsidP="00CD542C">
      <w:pPr>
        <w:spacing w:after="0" w:line="240" w:lineRule="auto"/>
        <w:jc w:val="both"/>
        <w:rPr>
          <w:rFonts w:ascii="Times New Roman" w:hAnsi="Times New Roman"/>
          <w:sz w:val="28"/>
          <w:szCs w:val="28"/>
        </w:rPr>
      </w:pPr>
    </w:p>
    <w:p w:rsidR="00972D1E" w:rsidRPr="00CD542C" w:rsidRDefault="00B07C96" w:rsidP="00CD542C">
      <w:pPr>
        <w:spacing w:after="0" w:line="240" w:lineRule="auto"/>
        <w:jc w:val="both"/>
        <w:rPr>
          <w:rFonts w:ascii="Times New Roman" w:hAnsi="Times New Roman"/>
          <w:sz w:val="28"/>
          <w:szCs w:val="28"/>
        </w:rPr>
      </w:pPr>
      <w:r w:rsidRPr="00CD542C">
        <w:rPr>
          <w:rFonts w:ascii="Times New Roman" w:hAnsi="Times New Roman"/>
          <w:sz w:val="28"/>
          <w:szCs w:val="28"/>
        </w:rPr>
        <w:t>A su vez, la exposición de motivos remite a la definición de violencia de la Convención de Belém do Pará, que caracteriza la violencia contra la mujer como</w:t>
      </w:r>
      <w:r w:rsidR="00D03626" w:rsidRPr="00CD542C">
        <w:rPr>
          <w:rFonts w:ascii="Times New Roman" w:hAnsi="Times New Roman"/>
          <w:sz w:val="28"/>
          <w:szCs w:val="28"/>
        </w:rPr>
        <w:t xml:space="preserve"> “</w:t>
      </w:r>
      <w:r w:rsidR="00D03626" w:rsidRPr="00CD542C">
        <w:rPr>
          <w:rFonts w:ascii="Times New Roman" w:hAnsi="Times New Roman"/>
          <w:i/>
          <w:iCs/>
          <w:sz w:val="28"/>
          <w:szCs w:val="28"/>
        </w:rPr>
        <w:t>cualquier acción o conducta, basada en su género, que cause muerte, daño o sufrimiento físico, sexual o psicológico a la mujer, tanto en el ámbito público como en el privado”.</w:t>
      </w:r>
      <w:r w:rsidR="00A727F7" w:rsidRPr="00CD542C">
        <w:rPr>
          <w:rFonts w:ascii="Times New Roman" w:hAnsi="Times New Roman"/>
          <w:i/>
          <w:iCs/>
          <w:sz w:val="28"/>
          <w:szCs w:val="28"/>
        </w:rPr>
        <w:t xml:space="preserve"> </w:t>
      </w:r>
      <w:r w:rsidR="00A727F7" w:rsidRPr="00CD542C">
        <w:rPr>
          <w:rFonts w:ascii="Times New Roman" w:hAnsi="Times New Roman"/>
          <w:sz w:val="28"/>
          <w:szCs w:val="28"/>
        </w:rPr>
        <w:t>De este modo, esas dos precisiones conceptuales permiten establecer que la violencia anterior al delito como un indicador de la intenci</w:t>
      </w:r>
      <w:r w:rsidR="00A73067" w:rsidRPr="00CD542C">
        <w:rPr>
          <w:rFonts w:ascii="Times New Roman" w:hAnsi="Times New Roman"/>
          <w:sz w:val="28"/>
          <w:szCs w:val="28"/>
        </w:rPr>
        <w:t>ón debe</w:t>
      </w:r>
      <w:r w:rsidR="00A727F7" w:rsidRPr="00CD542C">
        <w:rPr>
          <w:rFonts w:ascii="Times New Roman" w:hAnsi="Times New Roman"/>
          <w:sz w:val="28"/>
          <w:szCs w:val="28"/>
        </w:rPr>
        <w:t xml:space="preserve"> necesariamente</w:t>
      </w:r>
      <w:r w:rsidR="00A73067" w:rsidRPr="00CD542C">
        <w:rPr>
          <w:rFonts w:ascii="Times New Roman" w:hAnsi="Times New Roman"/>
          <w:sz w:val="28"/>
          <w:szCs w:val="28"/>
        </w:rPr>
        <w:t xml:space="preserve"> ser</w:t>
      </w:r>
      <w:r w:rsidR="00A727F7" w:rsidRPr="00CD542C">
        <w:rPr>
          <w:rFonts w:ascii="Times New Roman" w:hAnsi="Times New Roman"/>
          <w:sz w:val="28"/>
          <w:szCs w:val="28"/>
        </w:rPr>
        <w:t xml:space="preserve"> violencia de género.</w:t>
      </w:r>
    </w:p>
    <w:p w:rsidR="00972D1E" w:rsidRPr="00CD542C" w:rsidRDefault="00972D1E" w:rsidP="00CD542C">
      <w:pPr>
        <w:spacing w:after="0" w:line="240" w:lineRule="auto"/>
        <w:jc w:val="both"/>
        <w:rPr>
          <w:rFonts w:ascii="Times New Roman" w:hAnsi="Times New Roman"/>
          <w:sz w:val="28"/>
          <w:szCs w:val="28"/>
        </w:rPr>
      </w:pPr>
    </w:p>
    <w:p w:rsidR="00580C25" w:rsidRPr="00CD542C" w:rsidRDefault="002C4BDF"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Lo anterior, por cuanto el establecimiento de </w:t>
      </w:r>
      <w:r w:rsidRPr="00CD542C">
        <w:rPr>
          <w:rFonts w:ascii="Times New Roman" w:hAnsi="Times New Roman"/>
          <w:i/>
          <w:sz w:val="28"/>
          <w:szCs w:val="28"/>
        </w:rPr>
        <w:t>“`razones de género´ significa encontrar los elementos asociados a la motivación criminal que hace que el agresor ataque a una mujer por considerar que su conducta se aparta de los roles establecidos como “adecuados o normales” por la cultura.</w:t>
      </w:r>
      <w:r w:rsidR="00A727F7" w:rsidRPr="00CD542C">
        <w:rPr>
          <w:rFonts w:ascii="Times New Roman" w:hAnsi="Times New Roman"/>
          <w:i/>
          <w:sz w:val="28"/>
          <w:szCs w:val="28"/>
        </w:rPr>
        <w:t xml:space="preserve"> </w:t>
      </w:r>
      <w:r w:rsidR="00A727F7" w:rsidRPr="00CD542C">
        <w:rPr>
          <w:rFonts w:ascii="Times New Roman" w:hAnsi="Times New Roman"/>
          <w:iCs/>
          <w:sz w:val="28"/>
          <w:szCs w:val="28"/>
        </w:rPr>
        <w:t>[Así,]</w:t>
      </w:r>
      <w:r w:rsidR="00A727F7" w:rsidRPr="00CD542C">
        <w:rPr>
          <w:rFonts w:ascii="Times New Roman" w:hAnsi="Times New Roman"/>
          <w:i/>
          <w:sz w:val="28"/>
          <w:szCs w:val="28"/>
        </w:rPr>
        <w:t xml:space="preserve"> p</w:t>
      </w:r>
      <w:r w:rsidRPr="00CD542C">
        <w:rPr>
          <w:rFonts w:ascii="Times New Roman" w:hAnsi="Times New Roman"/>
          <w:i/>
          <w:sz w:val="28"/>
          <w:szCs w:val="28"/>
        </w:rPr>
        <w:t>ara entender la elaboración de la conducta criminal en los casos de femicidio, se debe conocer cómo los agresores utilizan las referencias culturales existentes para elaborar su decisión y conducta</w:t>
      </w:r>
      <w:r w:rsidRPr="00CD542C">
        <w:rPr>
          <w:rFonts w:ascii="Times New Roman" w:hAnsi="Times New Roman"/>
          <w:sz w:val="28"/>
          <w:szCs w:val="28"/>
        </w:rPr>
        <w:t>”</w:t>
      </w:r>
      <w:r w:rsidR="000A5842" w:rsidRPr="00CD542C">
        <w:rPr>
          <w:rStyle w:val="Refdenotaalpie"/>
          <w:rFonts w:ascii="Times New Roman" w:hAnsi="Times New Roman"/>
          <w:sz w:val="28"/>
          <w:szCs w:val="28"/>
        </w:rPr>
        <w:footnoteReference w:id="114"/>
      </w:r>
      <w:r w:rsidRPr="00CD542C">
        <w:rPr>
          <w:rFonts w:ascii="Times New Roman" w:hAnsi="Times New Roman"/>
          <w:sz w:val="28"/>
          <w:szCs w:val="28"/>
        </w:rPr>
        <w:t xml:space="preserve"> y no cualquier tipo de violencia contra las mujeres se adecua a dicha intención. </w:t>
      </w:r>
    </w:p>
    <w:p w:rsidR="00580C25" w:rsidRPr="00CD542C" w:rsidRDefault="00580C25" w:rsidP="00CD542C">
      <w:pPr>
        <w:spacing w:after="0" w:line="240" w:lineRule="auto"/>
        <w:jc w:val="both"/>
        <w:rPr>
          <w:rFonts w:ascii="Times New Roman" w:hAnsi="Times New Roman"/>
          <w:sz w:val="28"/>
          <w:szCs w:val="28"/>
        </w:rPr>
      </w:pPr>
    </w:p>
    <w:p w:rsidR="002C4BDF" w:rsidRPr="00CD542C" w:rsidRDefault="00A727F7"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Como lo indica el mismo </w:t>
      </w:r>
      <w:r w:rsidR="0014787D" w:rsidRPr="00CD542C">
        <w:rPr>
          <w:rFonts w:ascii="Times New Roman" w:hAnsi="Times New Roman"/>
          <w:sz w:val="28"/>
          <w:szCs w:val="28"/>
        </w:rPr>
        <w:t>literal</w:t>
      </w:r>
      <w:r w:rsidRPr="00CD542C">
        <w:rPr>
          <w:rFonts w:ascii="Times New Roman" w:hAnsi="Times New Roman"/>
          <w:sz w:val="28"/>
          <w:szCs w:val="28"/>
        </w:rPr>
        <w:t xml:space="preserve"> </w:t>
      </w:r>
      <w:r w:rsidR="00051905" w:rsidRPr="00CD542C">
        <w:rPr>
          <w:rFonts w:ascii="Times New Roman" w:hAnsi="Times New Roman"/>
          <w:sz w:val="28"/>
          <w:szCs w:val="28"/>
        </w:rPr>
        <w:t xml:space="preserve">acusado </w:t>
      </w:r>
      <w:r w:rsidRPr="00CD542C">
        <w:rPr>
          <w:rFonts w:ascii="Times New Roman" w:hAnsi="Times New Roman"/>
          <w:sz w:val="28"/>
          <w:szCs w:val="28"/>
        </w:rPr>
        <w:t>se trata de hechos anteriores en la relación entre el sujeto activo y el sujeto pasivo, pero no pueden ser de una amplitud tal que admita que cualquier acto sin un componente claro de discriminación de género configure una intención como la que caracteriza el feminicidio</w:t>
      </w:r>
      <w:r w:rsidR="0014787D" w:rsidRPr="00CD542C">
        <w:rPr>
          <w:rFonts w:ascii="Times New Roman" w:hAnsi="Times New Roman"/>
          <w:sz w:val="28"/>
          <w:szCs w:val="28"/>
        </w:rPr>
        <w:t xml:space="preserve">, </w:t>
      </w:r>
      <w:r w:rsidR="00A73067" w:rsidRPr="00CD542C">
        <w:rPr>
          <w:rFonts w:ascii="Times New Roman" w:hAnsi="Times New Roman"/>
          <w:sz w:val="28"/>
          <w:szCs w:val="28"/>
        </w:rPr>
        <w:t>que la diferencie</w:t>
      </w:r>
      <w:r w:rsidRPr="00CD542C">
        <w:rPr>
          <w:rFonts w:ascii="Times New Roman" w:hAnsi="Times New Roman"/>
          <w:sz w:val="28"/>
          <w:szCs w:val="28"/>
        </w:rPr>
        <w:t xml:space="preserve"> del homicidio.</w:t>
      </w:r>
    </w:p>
    <w:p w:rsidR="002C4BDF" w:rsidRPr="00CD542C" w:rsidRDefault="002C4BDF" w:rsidP="00CD542C">
      <w:pPr>
        <w:spacing w:after="0" w:line="240" w:lineRule="auto"/>
        <w:jc w:val="both"/>
        <w:rPr>
          <w:rFonts w:ascii="Times New Roman" w:hAnsi="Times New Roman"/>
          <w:sz w:val="28"/>
          <w:szCs w:val="28"/>
        </w:rPr>
      </w:pPr>
    </w:p>
    <w:p w:rsidR="006715FA"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5</w:t>
      </w:r>
      <w:r w:rsidR="00580C25" w:rsidRPr="00CD542C">
        <w:rPr>
          <w:rFonts w:ascii="Times New Roman" w:hAnsi="Times New Roman"/>
          <w:sz w:val="28"/>
          <w:szCs w:val="28"/>
        </w:rPr>
        <w:t>6</w:t>
      </w:r>
      <w:r w:rsidR="00535D14" w:rsidRPr="00CD542C">
        <w:rPr>
          <w:rFonts w:ascii="Times New Roman" w:hAnsi="Times New Roman"/>
          <w:sz w:val="28"/>
          <w:szCs w:val="28"/>
        </w:rPr>
        <w:t xml:space="preserve">. </w:t>
      </w:r>
      <w:r w:rsidR="00314C2E" w:rsidRPr="00CD542C">
        <w:rPr>
          <w:rFonts w:ascii="Times New Roman" w:hAnsi="Times New Roman"/>
          <w:sz w:val="28"/>
          <w:szCs w:val="28"/>
        </w:rPr>
        <w:t>Así</w:t>
      </w:r>
      <w:r w:rsidR="00A73067" w:rsidRPr="00CD542C">
        <w:rPr>
          <w:rFonts w:ascii="Times New Roman" w:hAnsi="Times New Roman"/>
          <w:sz w:val="28"/>
          <w:szCs w:val="28"/>
        </w:rPr>
        <w:t>, la</w:t>
      </w:r>
      <w:r w:rsidR="00C64A26" w:rsidRPr="00CD542C">
        <w:rPr>
          <w:rFonts w:ascii="Times New Roman" w:hAnsi="Times New Roman"/>
          <w:sz w:val="28"/>
          <w:szCs w:val="28"/>
        </w:rPr>
        <w:t xml:space="preserve"> ambigüedad de la descripción típica de una de sus lecturas, puede ser superada median</w:t>
      </w:r>
      <w:r w:rsidR="00A73067" w:rsidRPr="00CD542C">
        <w:rPr>
          <w:rFonts w:ascii="Times New Roman" w:hAnsi="Times New Roman"/>
          <w:sz w:val="28"/>
          <w:szCs w:val="28"/>
        </w:rPr>
        <w:t>te la remisión a la misma norma</w:t>
      </w:r>
      <w:r w:rsidR="00C64A26" w:rsidRPr="00CD542C">
        <w:rPr>
          <w:rFonts w:ascii="Times New Roman" w:hAnsi="Times New Roman"/>
          <w:sz w:val="28"/>
          <w:szCs w:val="28"/>
        </w:rPr>
        <w:t xml:space="preserve"> y a la definición de violen</w:t>
      </w:r>
      <w:r w:rsidR="00051905" w:rsidRPr="00CD542C">
        <w:rPr>
          <w:rFonts w:ascii="Times New Roman" w:hAnsi="Times New Roman"/>
          <w:sz w:val="28"/>
          <w:szCs w:val="28"/>
        </w:rPr>
        <w:t>cia contemplada en</w:t>
      </w:r>
      <w:r w:rsidR="006715FA" w:rsidRPr="00CD542C">
        <w:rPr>
          <w:rFonts w:ascii="Times New Roman" w:hAnsi="Times New Roman"/>
          <w:sz w:val="28"/>
          <w:szCs w:val="28"/>
        </w:rPr>
        <w:t xml:space="preserve"> el artículo</w:t>
      </w:r>
      <w:r w:rsidR="00C64A26" w:rsidRPr="00CD542C">
        <w:rPr>
          <w:rFonts w:ascii="Times New Roman" w:hAnsi="Times New Roman"/>
          <w:sz w:val="28"/>
          <w:szCs w:val="28"/>
        </w:rPr>
        <w:t xml:space="preserve"> 1</w:t>
      </w:r>
      <w:r w:rsidR="00051905" w:rsidRPr="00CD542C">
        <w:rPr>
          <w:rFonts w:ascii="Times New Roman" w:hAnsi="Times New Roman"/>
          <w:sz w:val="28"/>
          <w:szCs w:val="28"/>
        </w:rPr>
        <w:t>°</w:t>
      </w:r>
      <w:r w:rsidR="00C64A26" w:rsidRPr="00CD542C">
        <w:rPr>
          <w:rFonts w:ascii="Times New Roman" w:hAnsi="Times New Roman"/>
          <w:sz w:val="28"/>
          <w:szCs w:val="28"/>
        </w:rPr>
        <w:t xml:space="preserve"> de la Convención de Belém do Pará</w:t>
      </w:r>
      <w:r w:rsidR="006715FA" w:rsidRPr="00CD542C">
        <w:rPr>
          <w:rFonts w:ascii="Times New Roman" w:hAnsi="Times New Roman"/>
          <w:sz w:val="28"/>
          <w:szCs w:val="28"/>
        </w:rPr>
        <w:t>, es decir al bloque de constitucionalidad</w:t>
      </w:r>
      <w:r w:rsidR="00C64A26" w:rsidRPr="00CD542C">
        <w:rPr>
          <w:rFonts w:ascii="Times New Roman" w:hAnsi="Times New Roman"/>
          <w:sz w:val="28"/>
          <w:szCs w:val="28"/>
        </w:rPr>
        <w:t>.</w:t>
      </w:r>
      <w:r w:rsidR="006715FA" w:rsidRPr="00CD542C">
        <w:rPr>
          <w:rFonts w:ascii="Times New Roman" w:hAnsi="Times New Roman"/>
          <w:sz w:val="28"/>
          <w:szCs w:val="28"/>
        </w:rPr>
        <w:t xml:space="preserve"> Como se advirtió, en los tipos penales abiertos,</w:t>
      </w:r>
      <w:r w:rsidR="00051905" w:rsidRPr="00CD542C">
        <w:rPr>
          <w:rFonts w:ascii="Times New Roman" w:hAnsi="Times New Roman"/>
          <w:sz w:val="28"/>
          <w:szCs w:val="28"/>
        </w:rPr>
        <w:t xml:space="preserve"> el juicio de validez no consiste en establecer</w:t>
      </w:r>
      <w:r w:rsidR="006715FA" w:rsidRPr="00CD542C">
        <w:rPr>
          <w:rFonts w:ascii="Times New Roman" w:hAnsi="Times New Roman"/>
          <w:sz w:val="28"/>
          <w:szCs w:val="28"/>
        </w:rPr>
        <w:t xml:space="preserve"> si se trata de una norma abierta</w:t>
      </w:r>
      <w:r w:rsidR="00051905" w:rsidRPr="00CD542C">
        <w:rPr>
          <w:rFonts w:ascii="Times New Roman" w:hAnsi="Times New Roman"/>
          <w:sz w:val="28"/>
          <w:szCs w:val="28"/>
        </w:rPr>
        <w:t>,</w:t>
      </w:r>
      <w:r w:rsidR="006715FA" w:rsidRPr="00CD542C">
        <w:rPr>
          <w:rFonts w:ascii="Times New Roman" w:hAnsi="Times New Roman"/>
          <w:sz w:val="28"/>
          <w:szCs w:val="28"/>
        </w:rPr>
        <w:t xml:space="preserve"> sino en</w:t>
      </w:r>
      <w:r w:rsidR="00051905" w:rsidRPr="00CD542C">
        <w:rPr>
          <w:rFonts w:ascii="Times New Roman" w:hAnsi="Times New Roman"/>
          <w:sz w:val="28"/>
          <w:szCs w:val="28"/>
        </w:rPr>
        <w:t xml:space="preserve"> averiguar</w:t>
      </w:r>
      <w:r w:rsidR="006715FA" w:rsidRPr="00CD542C">
        <w:rPr>
          <w:rFonts w:ascii="Times New Roman" w:hAnsi="Times New Roman"/>
          <w:sz w:val="28"/>
          <w:szCs w:val="28"/>
        </w:rPr>
        <w:t xml:space="preserve"> si el nivel de apertura de la misma permite o no a los destinatarios comprender la conducta penalizada. A su vez, explica que el tipo penal abierto puede admitirse cuando existe un referente especializado que decanta una pauta específica, la cual puede ser trasladada a los destinatarios en </w:t>
      </w:r>
      <w:r w:rsidR="006715FA" w:rsidRPr="00CD542C">
        <w:rPr>
          <w:rFonts w:ascii="Times New Roman" w:hAnsi="Times New Roman"/>
          <w:sz w:val="28"/>
          <w:szCs w:val="28"/>
        </w:rPr>
        <w:lastRenderedPageBreak/>
        <w:t xml:space="preserve">el control constitucional del precepto. </w:t>
      </w:r>
      <w:r w:rsidR="00C64A26" w:rsidRPr="00CD542C">
        <w:rPr>
          <w:rFonts w:ascii="Times New Roman" w:hAnsi="Times New Roman"/>
          <w:sz w:val="28"/>
          <w:szCs w:val="28"/>
        </w:rPr>
        <w:t xml:space="preserve"> </w:t>
      </w:r>
      <w:r w:rsidR="006715FA" w:rsidRPr="00CD542C">
        <w:rPr>
          <w:rFonts w:ascii="Times New Roman" w:hAnsi="Times New Roman"/>
          <w:sz w:val="28"/>
          <w:szCs w:val="28"/>
        </w:rPr>
        <w:t xml:space="preserve">En este caso, la lectura en conjunto de la norma, la exposición de motivos y los referentes especializados, permiten establecer que la violencia de </w:t>
      </w:r>
      <w:r w:rsidR="00051905" w:rsidRPr="00CD542C">
        <w:rPr>
          <w:rFonts w:ascii="Times New Roman" w:hAnsi="Times New Roman"/>
          <w:sz w:val="28"/>
          <w:szCs w:val="28"/>
        </w:rPr>
        <w:t>la que trata el literal demandado</w:t>
      </w:r>
      <w:r w:rsidR="006715FA" w:rsidRPr="00CD542C">
        <w:rPr>
          <w:rFonts w:ascii="Times New Roman" w:hAnsi="Times New Roman"/>
          <w:sz w:val="28"/>
          <w:szCs w:val="28"/>
        </w:rPr>
        <w:t xml:space="preserve"> se refiere a violencia de género o por motivos de discriminación, que no puede ser aislada, eventual ni en d</w:t>
      </w:r>
      <w:r w:rsidR="00051905" w:rsidRPr="00CD542C">
        <w:rPr>
          <w:rFonts w:ascii="Times New Roman" w:hAnsi="Times New Roman"/>
          <w:sz w:val="28"/>
          <w:szCs w:val="28"/>
        </w:rPr>
        <w:t>esconexión con la conducta de dar</w:t>
      </w:r>
      <w:r w:rsidR="006715FA" w:rsidRPr="00CD542C">
        <w:rPr>
          <w:rFonts w:ascii="Times New Roman" w:hAnsi="Times New Roman"/>
          <w:sz w:val="28"/>
          <w:szCs w:val="28"/>
        </w:rPr>
        <w:t xml:space="preserve"> muerte. Un entendimiento diferente haría el precepto demasiado amplio</w:t>
      </w:r>
      <w:r w:rsidR="00550434" w:rsidRPr="00CD542C">
        <w:rPr>
          <w:rFonts w:ascii="Times New Roman" w:hAnsi="Times New Roman"/>
          <w:sz w:val="28"/>
          <w:szCs w:val="28"/>
        </w:rPr>
        <w:t xml:space="preserve"> y así </w:t>
      </w:r>
      <w:r w:rsidR="009F216B" w:rsidRPr="00CD542C">
        <w:rPr>
          <w:rFonts w:ascii="Times New Roman" w:hAnsi="Times New Roman"/>
          <w:sz w:val="28"/>
          <w:szCs w:val="28"/>
        </w:rPr>
        <w:t>ambiguo</w:t>
      </w:r>
      <w:r w:rsidR="00FC288C" w:rsidRPr="00CD542C">
        <w:rPr>
          <w:rFonts w:ascii="Times New Roman" w:hAnsi="Times New Roman"/>
          <w:sz w:val="28"/>
          <w:szCs w:val="28"/>
        </w:rPr>
        <w:t xml:space="preserve"> e impreciso</w:t>
      </w:r>
      <w:r w:rsidR="006715FA" w:rsidRPr="00CD542C">
        <w:rPr>
          <w:rFonts w:ascii="Times New Roman" w:hAnsi="Times New Roman"/>
          <w:sz w:val="28"/>
          <w:szCs w:val="28"/>
        </w:rPr>
        <w:t xml:space="preserve">, y por lo tanto </w:t>
      </w:r>
      <w:r w:rsidR="00335A0A" w:rsidRPr="00CD542C">
        <w:rPr>
          <w:rFonts w:ascii="Times New Roman" w:hAnsi="Times New Roman"/>
          <w:sz w:val="28"/>
          <w:szCs w:val="28"/>
        </w:rPr>
        <w:t>vulneratorio del prin</w:t>
      </w:r>
      <w:r w:rsidR="006715FA" w:rsidRPr="00CD542C">
        <w:rPr>
          <w:rFonts w:ascii="Times New Roman" w:hAnsi="Times New Roman"/>
          <w:sz w:val="28"/>
          <w:szCs w:val="28"/>
        </w:rPr>
        <w:t xml:space="preserve">cipio de </w:t>
      </w:r>
      <w:r w:rsidR="00335A0A" w:rsidRPr="00CD542C">
        <w:rPr>
          <w:rFonts w:ascii="Times New Roman" w:hAnsi="Times New Roman"/>
          <w:sz w:val="28"/>
          <w:szCs w:val="28"/>
        </w:rPr>
        <w:t>legalidad</w:t>
      </w:r>
      <w:r w:rsidR="006715FA" w:rsidRPr="00CD542C">
        <w:rPr>
          <w:rFonts w:ascii="Times New Roman" w:hAnsi="Times New Roman"/>
          <w:sz w:val="28"/>
          <w:szCs w:val="28"/>
        </w:rPr>
        <w:t xml:space="preserve">. </w:t>
      </w:r>
    </w:p>
    <w:p w:rsidR="006715FA" w:rsidRPr="00CD542C" w:rsidRDefault="006715FA" w:rsidP="00CD542C">
      <w:pPr>
        <w:spacing w:after="0" w:line="240" w:lineRule="auto"/>
        <w:jc w:val="both"/>
        <w:rPr>
          <w:rFonts w:ascii="Times New Roman" w:hAnsi="Times New Roman"/>
          <w:sz w:val="28"/>
          <w:szCs w:val="28"/>
        </w:rPr>
      </w:pPr>
    </w:p>
    <w:p w:rsidR="00826B33"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5</w:t>
      </w:r>
      <w:r w:rsidR="00580C25" w:rsidRPr="00CD542C">
        <w:rPr>
          <w:rFonts w:ascii="Times New Roman" w:hAnsi="Times New Roman"/>
          <w:sz w:val="28"/>
          <w:szCs w:val="28"/>
        </w:rPr>
        <w:t>7</w:t>
      </w:r>
      <w:r w:rsidR="00D44AAF" w:rsidRPr="00CD542C">
        <w:rPr>
          <w:rFonts w:ascii="Times New Roman" w:hAnsi="Times New Roman"/>
          <w:sz w:val="28"/>
          <w:szCs w:val="28"/>
        </w:rPr>
        <w:t xml:space="preserve">. </w:t>
      </w:r>
      <w:r w:rsidR="00C64A26" w:rsidRPr="00CD542C">
        <w:rPr>
          <w:rFonts w:ascii="Times New Roman" w:hAnsi="Times New Roman"/>
          <w:sz w:val="28"/>
          <w:szCs w:val="28"/>
        </w:rPr>
        <w:t>Lo anterior, no sucede con la segunda</w:t>
      </w:r>
      <w:r w:rsidR="00550434" w:rsidRPr="00CD542C">
        <w:rPr>
          <w:rFonts w:ascii="Times New Roman" w:hAnsi="Times New Roman"/>
          <w:sz w:val="28"/>
          <w:szCs w:val="28"/>
        </w:rPr>
        <w:t xml:space="preserve"> modalidad que plantea el literal</w:t>
      </w:r>
      <w:r w:rsidR="00C64A26" w:rsidRPr="00CD542C">
        <w:rPr>
          <w:rFonts w:ascii="Times New Roman" w:hAnsi="Times New Roman"/>
          <w:sz w:val="28"/>
          <w:szCs w:val="28"/>
        </w:rPr>
        <w:t>,</w:t>
      </w:r>
      <w:r w:rsidR="00FD23AF" w:rsidRPr="00CD542C">
        <w:rPr>
          <w:rFonts w:ascii="Times New Roman" w:hAnsi="Times New Roman"/>
          <w:sz w:val="28"/>
          <w:szCs w:val="28"/>
        </w:rPr>
        <w:t xml:space="preserve"> -violencia de género-,</w:t>
      </w:r>
      <w:r w:rsidR="00C64A26" w:rsidRPr="00CD542C">
        <w:rPr>
          <w:rFonts w:ascii="Times New Roman" w:hAnsi="Times New Roman"/>
          <w:sz w:val="28"/>
          <w:szCs w:val="28"/>
        </w:rPr>
        <w:t xml:space="preserve"> puesto que</w:t>
      </w:r>
      <w:r w:rsidR="00FD23AF" w:rsidRPr="00CD542C">
        <w:rPr>
          <w:rFonts w:ascii="Times New Roman" w:hAnsi="Times New Roman"/>
          <w:sz w:val="28"/>
          <w:szCs w:val="28"/>
        </w:rPr>
        <w:t xml:space="preserve"> califica explícitamente el tipo de violencia</w:t>
      </w:r>
      <w:r w:rsidR="00C64A26" w:rsidRPr="00CD542C">
        <w:rPr>
          <w:rFonts w:ascii="Times New Roman" w:hAnsi="Times New Roman"/>
          <w:sz w:val="28"/>
          <w:szCs w:val="28"/>
        </w:rPr>
        <w:t>, como una modalidad precisa e inequívoca</w:t>
      </w:r>
      <w:r w:rsidR="00587038" w:rsidRPr="00CD542C">
        <w:rPr>
          <w:rFonts w:ascii="Times New Roman" w:hAnsi="Times New Roman"/>
          <w:sz w:val="28"/>
          <w:szCs w:val="28"/>
        </w:rPr>
        <w:t xml:space="preserve"> que configura una circunstancia contextual</w:t>
      </w:r>
      <w:r w:rsidR="00C64A26" w:rsidRPr="00CD542C">
        <w:rPr>
          <w:rFonts w:ascii="Times New Roman" w:hAnsi="Times New Roman"/>
          <w:sz w:val="28"/>
          <w:szCs w:val="28"/>
        </w:rPr>
        <w:t xml:space="preserve">. </w:t>
      </w:r>
      <w:r w:rsidR="00314C2E" w:rsidRPr="00CD542C">
        <w:rPr>
          <w:rFonts w:ascii="Times New Roman" w:hAnsi="Times New Roman"/>
          <w:sz w:val="28"/>
          <w:szCs w:val="28"/>
        </w:rPr>
        <w:t xml:space="preserve"> </w:t>
      </w:r>
    </w:p>
    <w:p w:rsidR="0021224A" w:rsidRPr="00CD542C" w:rsidRDefault="0021224A" w:rsidP="00CD542C">
      <w:pPr>
        <w:spacing w:after="0" w:line="240" w:lineRule="auto"/>
        <w:jc w:val="both"/>
        <w:rPr>
          <w:rFonts w:ascii="Times New Roman" w:hAnsi="Times New Roman"/>
          <w:sz w:val="28"/>
          <w:szCs w:val="28"/>
        </w:rPr>
      </w:pPr>
    </w:p>
    <w:p w:rsidR="0021224A"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rPr>
        <w:t>5</w:t>
      </w:r>
      <w:r w:rsidR="0014787D" w:rsidRPr="00CD542C">
        <w:rPr>
          <w:rFonts w:ascii="Times New Roman" w:hAnsi="Times New Roman"/>
          <w:sz w:val="28"/>
          <w:szCs w:val="28"/>
        </w:rPr>
        <w:t>8</w:t>
      </w:r>
      <w:r w:rsidR="00D44AAF" w:rsidRPr="00CD542C">
        <w:rPr>
          <w:rFonts w:ascii="Times New Roman" w:hAnsi="Times New Roman"/>
          <w:sz w:val="28"/>
          <w:szCs w:val="28"/>
        </w:rPr>
        <w:t xml:space="preserve">. </w:t>
      </w:r>
      <w:r w:rsidR="0021224A" w:rsidRPr="00CD542C">
        <w:rPr>
          <w:rFonts w:ascii="Times New Roman" w:hAnsi="Times New Roman"/>
          <w:sz w:val="28"/>
          <w:szCs w:val="28"/>
        </w:rPr>
        <w:t>En consecuencia, la Sala Plena de la Corte Constitucional considera que para que se respete el principio de legalidad es</w:t>
      </w:r>
      <w:r w:rsidR="00550434" w:rsidRPr="00CD542C">
        <w:rPr>
          <w:rFonts w:ascii="Times New Roman" w:hAnsi="Times New Roman"/>
          <w:sz w:val="28"/>
          <w:szCs w:val="28"/>
        </w:rPr>
        <w:t xml:space="preserve"> necesario condicionar el literal e) del artículo 2 de la Ley 1752 de 2015</w:t>
      </w:r>
      <w:r w:rsidR="0021224A" w:rsidRPr="00CD542C">
        <w:rPr>
          <w:rFonts w:ascii="Times New Roman" w:hAnsi="Times New Roman"/>
          <w:sz w:val="28"/>
          <w:szCs w:val="28"/>
        </w:rPr>
        <w:t xml:space="preserve"> en el entendido de que la violencia a la que se refiere es violencia de género como una circunstancia contextual para determinar el elemento subjetivo del tipo: la intención de </w:t>
      </w:r>
      <w:r w:rsidR="00A019B4" w:rsidRPr="00CD542C">
        <w:rPr>
          <w:rFonts w:ascii="Times New Roman" w:hAnsi="Times New Roman"/>
          <w:sz w:val="28"/>
          <w:szCs w:val="28"/>
        </w:rPr>
        <w:t>matar por el hecho de ser mujer o por motivos de género.</w:t>
      </w:r>
      <w:r w:rsidR="00A73067" w:rsidRPr="00CD542C">
        <w:rPr>
          <w:rFonts w:ascii="Times New Roman" w:hAnsi="Times New Roman"/>
          <w:sz w:val="28"/>
          <w:szCs w:val="28"/>
        </w:rPr>
        <w:t xml:space="preserve"> No obstante, la verificación de dicha circunstancia no excluye el análisis que el</w:t>
      </w:r>
      <w:r w:rsidR="00550434" w:rsidRPr="00CD542C">
        <w:rPr>
          <w:rFonts w:ascii="Times New Roman" w:hAnsi="Times New Roman"/>
          <w:sz w:val="28"/>
          <w:szCs w:val="28"/>
        </w:rPr>
        <w:t xml:space="preserve"> fiscal o el</w:t>
      </w:r>
      <w:r w:rsidR="00A73067" w:rsidRPr="00CD542C">
        <w:rPr>
          <w:rFonts w:ascii="Times New Roman" w:hAnsi="Times New Roman"/>
          <w:sz w:val="28"/>
          <w:szCs w:val="28"/>
        </w:rPr>
        <w:t xml:space="preserve"> juez debe</w:t>
      </w:r>
      <w:r w:rsidR="00550434" w:rsidRPr="00CD542C">
        <w:rPr>
          <w:rFonts w:ascii="Times New Roman" w:hAnsi="Times New Roman"/>
          <w:sz w:val="28"/>
          <w:szCs w:val="28"/>
        </w:rPr>
        <w:t>n</w:t>
      </w:r>
      <w:r w:rsidR="00A73067" w:rsidRPr="00CD542C">
        <w:rPr>
          <w:rFonts w:ascii="Times New Roman" w:hAnsi="Times New Roman"/>
          <w:sz w:val="28"/>
          <w:szCs w:val="28"/>
        </w:rPr>
        <w:t xml:space="preserve"> hacer para verificar la tipicidad, antijuridicidad y culpabilidad en el proceso penal con el debido respeto al derecho al debido proceso.</w:t>
      </w:r>
    </w:p>
    <w:p w:rsidR="00A73067" w:rsidRPr="00CD542C" w:rsidRDefault="00A73067" w:rsidP="00CD542C">
      <w:pPr>
        <w:spacing w:after="0" w:line="240" w:lineRule="auto"/>
        <w:jc w:val="both"/>
        <w:rPr>
          <w:rFonts w:ascii="Times New Roman" w:hAnsi="Times New Roman"/>
          <w:sz w:val="28"/>
          <w:szCs w:val="28"/>
        </w:rPr>
      </w:pPr>
    </w:p>
    <w:p w:rsidR="00D44AAF" w:rsidRPr="00CD542C" w:rsidRDefault="00D44AAF" w:rsidP="00CD542C">
      <w:pPr>
        <w:spacing w:after="0" w:line="240" w:lineRule="auto"/>
        <w:jc w:val="both"/>
        <w:rPr>
          <w:rFonts w:ascii="Times New Roman" w:hAnsi="Times New Roman"/>
          <w:sz w:val="28"/>
          <w:szCs w:val="28"/>
        </w:rPr>
      </w:pPr>
      <w:r w:rsidRPr="00CD542C">
        <w:rPr>
          <w:rFonts w:ascii="Times New Roman" w:hAnsi="Times New Roman"/>
          <w:sz w:val="28"/>
          <w:szCs w:val="28"/>
        </w:rPr>
        <w:t>La Sala considera entonces que es necesario el condicionamiento de la norma en los anteriores términos, pues de lo contrario se podría</w:t>
      </w:r>
      <w:r w:rsidR="00664163" w:rsidRPr="00CD542C">
        <w:rPr>
          <w:rFonts w:ascii="Times New Roman" w:hAnsi="Times New Roman"/>
          <w:sz w:val="28"/>
          <w:szCs w:val="28"/>
        </w:rPr>
        <w:t xml:space="preserve"> admitir una lectura de la disposición</w:t>
      </w:r>
      <w:r w:rsidRPr="00CD542C">
        <w:rPr>
          <w:rFonts w:ascii="Times New Roman" w:hAnsi="Times New Roman"/>
          <w:sz w:val="28"/>
          <w:szCs w:val="28"/>
        </w:rPr>
        <w:t xml:space="preserve"> que permite la ambigüedad</w:t>
      </w:r>
      <w:r w:rsidR="00664163" w:rsidRPr="00CD542C">
        <w:rPr>
          <w:rFonts w:ascii="Times New Roman" w:hAnsi="Times New Roman"/>
          <w:sz w:val="28"/>
          <w:szCs w:val="28"/>
        </w:rPr>
        <w:t xml:space="preserve"> e imprecisión en la descripción típica</w:t>
      </w:r>
      <w:r w:rsidRPr="00CD542C">
        <w:rPr>
          <w:rFonts w:ascii="Times New Roman" w:hAnsi="Times New Roman"/>
          <w:sz w:val="28"/>
          <w:szCs w:val="28"/>
        </w:rPr>
        <w:t xml:space="preserve">, lo cual </w:t>
      </w:r>
      <w:r w:rsidR="00664163" w:rsidRPr="00CD542C">
        <w:rPr>
          <w:rFonts w:ascii="Times New Roman" w:hAnsi="Times New Roman"/>
          <w:sz w:val="28"/>
          <w:szCs w:val="28"/>
        </w:rPr>
        <w:t xml:space="preserve">violaría el </w:t>
      </w:r>
      <w:r w:rsidRPr="00CD542C">
        <w:rPr>
          <w:rFonts w:ascii="Times New Roman" w:hAnsi="Times New Roman"/>
          <w:sz w:val="28"/>
          <w:szCs w:val="28"/>
        </w:rPr>
        <w:t>principio de legalidad</w:t>
      </w:r>
      <w:r w:rsidR="00664163" w:rsidRPr="00CD542C">
        <w:rPr>
          <w:rFonts w:ascii="Times New Roman" w:hAnsi="Times New Roman"/>
          <w:sz w:val="28"/>
          <w:szCs w:val="28"/>
        </w:rPr>
        <w:t xml:space="preserve"> y</w:t>
      </w:r>
      <w:r w:rsidR="005C14BA" w:rsidRPr="00CD542C">
        <w:rPr>
          <w:rFonts w:ascii="Times New Roman" w:hAnsi="Times New Roman"/>
          <w:sz w:val="28"/>
          <w:szCs w:val="28"/>
        </w:rPr>
        <w:t xml:space="preserve"> el derecho al debido proceso. </w:t>
      </w:r>
      <w:r w:rsidR="00995B51" w:rsidRPr="00CD542C">
        <w:rPr>
          <w:rFonts w:ascii="Times New Roman" w:hAnsi="Times New Roman"/>
          <w:sz w:val="28"/>
          <w:szCs w:val="28"/>
        </w:rPr>
        <w:t xml:space="preserve"> </w:t>
      </w:r>
    </w:p>
    <w:p w:rsidR="00826B33" w:rsidRPr="00CD542C" w:rsidRDefault="00826B33" w:rsidP="00CD542C">
      <w:pPr>
        <w:spacing w:after="0" w:line="240" w:lineRule="auto"/>
        <w:rPr>
          <w:rFonts w:ascii="Times New Roman" w:hAnsi="Times New Roman"/>
          <w:sz w:val="28"/>
          <w:szCs w:val="28"/>
        </w:rPr>
      </w:pPr>
    </w:p>
    <w:p w:rsidR="00587038" w:rsidRPr="00CD542C" w:rsidRDefault="00587038" w:rsidP="00CD542C">
      <w:pPr>
        <w:spacing w:after="0" w:line="240" w:lineRule="auto"/>
        <w:rPr>
          <w:rFonts w:ascii="Times New Roman" w:hAnsi="Times New Roman"/>
          <w:b/>
          <w:sz w:val="28"/>
          <w:szCs w:val="28"/>
        </w:rPr>
      </w:pPr>
      <w:r w:rsidRPr="00CD542C">
        <w:rPr>
          <w:rFonts w:ascii="Times New Roman" w:hAnsi="Times New Roman"/>
          <w:b/>
          <w:sz w:val="28"/>
          <w:szCs w:val="28"/>
        </w:rPr>
        <w:t>Conclusiones</w:t>
      </w:r>
    </w:p>
    <w:p w:rsidR="003F0788" w:rsidRPr="00CD542C" w:rsidRDefault="003F0788" w:rsidP="00CD542C">
      <w:pPr>
        <w:spacing w:after="0" w:line="240" w:lineRule="auto"/>
        <w:jc w:val="both"/>
        <w:rPr>
          <w:rFonts w:ascii="Times New Roman" w:hAnsi="Times New Roman"/>
          <w:sz w:val="28"/>
          <w:szCs w:val="28"/>
          <w:lang w:eastAsia="es-ES"/>
        </w:rPr>
      </w:pPr>
    </w:p>
    <w:p w:rsidR="00587038" w:rsidRPr="00CD542C" w:rsidRDefault="00D82936" w:rsidP="00CD542C">
      <w:pPr>
        <w:spacing w:after="0" w:line="240" w:lineRule="auto"/>
        <w:jc w:val="both"/>
        <w:rPr>
          <w:rFonts w:ascii="Times New Roman" w:hAnsi="Times New Roman"/>
          <w:sz w:val="28"/>
          <w:szCs w:val="28"/>
        </w:rPr>
      </w:pPr>
      <w:r w:rsidRPr="00CD542C">
        <w:rPr>
          <w:rFonts w:ascii="Times New Roman" w:hAnsi="Times New Roman"/>
          <w:sz w:val="28"/>
          <w:szCs w:val="28"/>
          <w:lang w:eastAsia="es-ES"/>
        </w:rPr>
        <w:t>5</w:t>
      </w:r>
      <w:r w:rsidR="0014787D" w:rsidRPr="00CD542C">
        <w:rPr>
          <w:rFonts w:ascii="Times New Roman" w:hAnsi="Times New Roman"/>
          <w:sz w:val="28"/>
          <w:szCs w:val="28"/>
          <w:lang w:eastAsia="es-ES"/>
        </w:rPr>
        <w:t>9</w:t>
      </w:r>
      <w:r w:rsidR="00995B51" w:rsidRPr="00CD542C">
        <w:rPr>
          <w:rFonts w:ascii="Times New Roman" w:hAnsi="Times New Roman"/>
          <w:sz w:val="28"/>
          <w:szCs w:val="28"/>
          <w:lang w:eastAsia="es-ES"/>
        </w:rPr>
        <w:t xml:space="preserve">. </w:t>
      </w:r>
      <w:r w:rsidR="005B0C7C" w:rsidRPr="00CD542C">
        <w:rPr>
          <w:rFonts w:ascii="Times New Roman" w:hAnsi="Times New Roman"/>
          <w:sz w:val="28"/>
          <w:szCs w:val="28"/>
          <w:lang w:eastAsia="es-ES"/>
        </w:rPr>
        <w:t xml:space="preserve">Las anteriores </w:t>
      </w:r>
      <w:r w:rsidR="005B0C7C" w:rsidRPr="00CD542C">
        <w:rPr>
          <w:rFonts w:ascii="Times New Roman" w:eastAsia="SimSun" w:hAnsi="Times New Roman"/>
          <w:sz w:val="28"/>
          <w:szCs w:val="28"/>
          <w:lang w:val="es-CO" w:eastAsia="es-ES"/>
        </w:rPr>
        <w:t>consideraciones se pueden concretar en las siguientes conclusiones:</w:t>
      </w:r>
    </w:p>
    <w:p w:rsidR="005B0C7C" w:rsidRPr="00CD542C" w:rsidRDefault="005B0C7C" w:rsidP="00CD542C">
      <w:pPr>
        <w:spacing w:after="0" w:line="240" w:lineRule="auto"/>
        <w:jc w:val="both"/>
        <w:rPr>
          <w:rFonts w:ascii="Times New Roman" w:hAnsi="Times New Roman"/>
          <w:sz w:val="28"/>
          <w:szCs w:val="28"/>
        </w:rPr>
      </w:pPr>
    </w:p>
    <w:p w:rsidR="005F1AB7" w:rsidRPr="00CD542C" w:rsidRDefault="00803B83" w:rsidP="00CD542C">
      <w:pPr>
        <w:spacing w:after="0" w:line="240" w:lineRule="auto"/>
        <w:jc w:val="both"/>
        <w:rPr>
          <w:rFonts w:ascii="Times New Roman" w:hAnsi="Times New Roman"/>
          <w:sz w:val="28"/>
          <w:szCs w:val="28"/>
        </w:rPr>
      </w:pPr>
      <w:r w:rsidRPr="00CD542C">
        <w:rPr>
          <w:rFonts w:ascii="Times New Roman" w:hAnsi="Times New Roman"/>
          <w:sz w:val="28"/>
          <w:szCs w:val="28"/>
        </w:rPr>
        <w:t>En cuanto al alcance de la norma demandada la Corte verifica que la lectura que se ajusta a la Constitución es la que establece que e</w:t>
      </w:r>
      <w:r w:rsidR="00587195" w:rsidRPr="00CD542C">
        <w:rPr>
          <w:rFonts w:ascii="Times New Roman" w:hAnsi="Times New Roman"/>
          <w:sz w:val="28"/>
          <w:szCs w:val="28"/>
        </w:rPr>
        <w:t xml:space="preserve">l </w:t>
      </w:r>
      <w:r w:rsidR="0014787D" w:rsidRPr="00CD542C">
        <w:rPr>
          <w:rFonts w:ascii="Times New Roman" w:hAnsi="Times New Roman"/>
          <w:sz w:val="28"/>
          <w:szCs w:val="28"/>
        </w:rPr>
        <w:t>literal</w:t>
      </w:r>
      <w:r w:rsidR="005B0C7C" w:rsidRPr="00CD542C">
        <w:rPr>
          <w:rFonts w:ascii="Times New Roman" w:hAnsi="Times New Roman"/>
          <w:sz w:val="28"/>
          <w:szCs w:val="28"/>
        </w:rPr>
        <w:t xml:space="preserve"> e</w:t>
      </w:r>
      <w:r w:rsidR="0014787D" w:rsidRPr="00CD542C">
        <w:rPr>
          <w:rFonts w:ascii="Times New Roman" w:hAnsi="Times New Roman"/>
          <w:sz w:val="28"/>
          <w:szCs w:val="28"/>
        </w:rPr>
        <w:t>)</w:t>
      </w:r>
      <w:r w:rsidR="005B0C7C" w:rsidRPr="00CD542C">
        <w:rPr>
          <w:rFonts w:ascii="Times New Roman" w:hAnsi="Times New Roman"/>
          <w:sz w:val="28"/>
          <w:szCs w:val="28"/>
        </w:rPr>
        <w:t xml:space="preserve"> del artículo 2 de la Ley 1761 de 2015</w:t>
      </w:r>
      <w:r w:rsidR="00587195" w:rsidRPr="00CD542C">
        <w:rPr>
          <w:rFonts w:ascii="Times New Roman" w:hAnsi="Times New Roman"/>
          <w:sz w:val="28"/>
          <w:szCs w:val="28"/>
        </w:rPr>
        <w:t xml:space="preserve"> corresponde a una circunstancia que complementa el tipo </w:t>
      </w:r>
      <w:r w:rsidR="005B0C7C" w:rsidRPr="00CD542C">
        <w:rPr>
          <w:rFonts w:ascii="Times New Roman" w:hAnsi="Times New Roman"/>
          <w:sz w:val="28"/>
          <w:szCs w:val="28"/>
        </w:rPr>
        <w:t xml:space="preserve">penal de feminicidio </w:t>
      </w:r>
      <w:r w:rsidR="00587195" w:rsidRPr="00CD542C">
        <w:rPr>
          <w:rFonts w:ascii="Times New Roman" w:hAnsi="Times New Roman"/>
          <w:sz w:val="28"/>
          <w:szCs w:val="28"/>
        </w:rPr>
        <w:t xml:space="preserve">para establecer </w:t>
      </w:r>
      <w:r w:rsidR="005B0C7C" w:rsidRPr="00CD542C">
        <w:rPr>
          <w:rFonts w:ascii="Times New Roman" w:hAnsi="Times New Roman"/>
          <w:sz w:val="28"/>
          <w:szCs w:val="28"/>
        </w:rPr>
        <w:t>su</w:t>
      </w:r>
      <w:r w:rsidR="00587195" w:rsidRPr="00CD542C">
        <w:rPr>
          <w:rFonts w:ascii="Times New Roman" w:hAnsi="Times New Roman"/>
          <w:sz w:val="28"/>
          <w:szCs w:val="28"/>
        </w:rPr>
        <w:t xml:space="preserve"> elemento subjetivo</w:t>
      </w:r>
      <w:r w:rsidR="00107E67" w:rsidRPr="00CD542C">
        <w:rPr>
          <w:rFonts w:ascii="Times New Roman" w:hAnsi="Times New Roman"/>
          <w:sz w:val="28"/>
          <w:szCs w:val="28"/>
        </w:rPr>
        <w:t>. La verificación de dicha circunstancia</w:t>
      </w:r>
      <w:r w:rsidR="00587195" w:rsidRPr="00CD542C">
        <w:rPr>
          <w:rFonts w:ascii="Times New Roman" w:hAnsi="Times New Roman"/>
          <w:sz w:val="28"/>
          <w:szCs w:val="28"/>
        </w:rPr>
        <w:t xml:space="preserve"> </w:t>
      </w:r>
      <w:r w:rsidR="00550434" w:rsidRPr="00CD542C">
        <w:rPr>
          <w:rFonts w:ascii="Times New Roman" w:hAnsi="Times New Roman"/>
          <w:sz w:val="28"/>
          <w:szCs w:val="28"/>
        </w:rPr>
        <w:t>no se puede entender como un reemplazo del estudio</w:t>
      </w:r>
      <w:r w:rsidR="00107E67" w:rsidRPr="00CD542C">
        <w:rPr>
          <w:rFonts w:ascii="Times New Roman" w:hAnsi="Times New Roman"/>
          <w:sz w:val="28"/>
          <w:szCs w:val="28"/>
        </w:rPr>
        <w:t xml:space="preserve"> </w:t>
      </w:r>
      <w:r w:rsidR="00B0512D" w:rsidRPr="00CD542C">
        <w:rPr>
          <w:rFonts w:ascii="Times New Roman" w:hAnsi="Times New Roman"/>
          <w:sz w:val="28"/>
          <w:szCs w:val="28"/>
        </w:rPr>
        <w:t xml:space="preserve">que el operador jurídico debe hacer en el proceso penal </w:t>
      </w:r>
      <w:r w:rsidR="00107E67" w:rsidRPr="00CD542C">
        <w:rPr>
          <w:rFonts w:ascii="Times New Roman" w:hAnsi="Times New Roman"/>
          <w:sz w:val="28"/>
          <w:szCs w:val="28"/>
        </w:rPr>
        <w:t xml:space="preserve">sobre la existencia de la intención, ni </w:t>
      </w:r>
      <w:r w:rsidR="00B0512D" w:rsidRPr="00CD542C">
        <w:rPr>
          <w:rFonts w:ascii="Times New Roman" w:hAnsi="Times New Roman"/>
          <w:sz w:val="28"/>
          <w:szCs w:val="28"/>
        </w:rPr>
        <w:t xml:space="preserve">tampoco </w:t>
      </w:r>
      <w:r w:rsidR="00107E67" w:rsidRPr="00CD542C">
        <w:rPr>
          <w:rFonts w:ascii="Times New Roman" w:hAnsi="Times New Roman"/>
          <w:sz w:val="28"/>
          <w:szCs w:val="28"/>
        </w:rPr>
        <w:t>excluye</w:t>
      </w:r>
      <w:r w:rsidR="00587195" w:rsidRPr="00CD542C">
        <w:rPr>
          <w:rFonts w:ascii="Times New Roman" w:hAnsi="Times New Roman"/>
          <w:sz w:val="28"/>
          <w:szCs w:val="28"/>
        </w:rPr>
        <w:t xml:space="preserve"> el análisis de culpabilid</w:t>
      </w:r>
      <w:r w:rsidR="00550434" w:rsidRPr="00CD542C">
        <w:rPr>
          <w:rFonts w:ascii="Times New Roman" w:hAnsi="Times New Roman"/>
          <w:sz w:val="28"/>
          <w:szCs w:val="28"/>
        </w:rPr>
        <w:t>ad. En otras palabras, el literal</w:t>
      </w:r>
      <w:r w:rsidR="00587195" w:rsidRPr="00CD542C">
        <w:rPr>
          <w:rFonts w:ascii="Times New Roman" w:hAnsi="Times New Roman"/>
          <w:sz w:val="28"/>
          <w:szCs w:val="28"/>
        </w:rPr>
        <w:t xml:space="preserve"> actúa como un hecho </w:t>
      </w:r>
      <w:r w:rsidR="00550434" w:rsidRPr="00CD542C">
        <w:rPr>
          <w:rFonts w:ascii="Times New Roman" w:hAnsi="Times New Roman"/>
          <w:sz w:val="28"/>
          <w:szCs w:val="28"/>
        </w:rPr>
        <w:t>contextual</w:t>
      </w:r>
      <w:r w:rsidR="00107E67" w:rsidRPr="00CD542C">
        <w:rPr>
          <w:rFonts w:ascii="Times New Roman" w:hAnsi="Times New Roman"/>
          <w:sz w:val="28"/>
          <w:szCs w:val="28"/>
        </w:rPr>
        <w:t xml:space="preserve"> para</w:t>
      </w:r>
      <w:r w:rsidR="00587195" w:rsidRPr="00CD542C">
        <w:rPr>
          <w:rFonts w:ascii="Times New Roman" w:hAnsi="Times New Roman"/>
          <w:sz w:val="28"/>
          <w:szCs w:val="28"/>
        </w:rPr>
        <w:t xml:space="preserve"> establecer</w:t>
      </w:r>
      <w:r w:rsidR="00550434" w:rsidRPr="00CD542C">
        <w:rPr>
          <w:rFonts w:ascii="Times New Roman" w:hAnsi="Times New Roman"/>
          <w:sz w:val="28"/>
          <w:szCs w:val="28"/>
        </w:rPr>
        <w:t xml:space="preserve"> el móvil del delito, pero no</w:t>
      </w:r>
      <w:r w:rsidR="00587195" w:rsidRPr="00CD542C">
        <w:rPr>
          <w:rFonts w:ascii="Times New Roman" w:hAnsi="Times New Roman"/>
          <w:sz w:val="28"/>
          <w:szCs w:val="28"/>
        </w:rPr>
        <w:t xml:space="preserve"> puede entender</w:t>
      </w:r>
      <w:r w:rsidR="00550434" w:rsidRPr="00CD542C">
        <w:rPr>
          <w:rFonts w:ascii="Times New Roman" w:hAnsi="Times New Roman"/>
          <w:sz w:val="28"/>
          <w:szCs w:val="28"/>
        </w:rPr>
        <w:t xml:space="preserve">se </w:t>
      </w:r>
      <w:r w:rsidR="00550434" w:rsidRPr="00CD542C">
        <w:rPr>
          <w:rFonts w:ascii="Times New Roman" w:hAnsi="Times New Roman"/>
          <w:i/>
          <w:iCs/>
          <w:sz w:val="28"/>
          <w:szCs w:val="28"/>
        </w:rPr>
        <w:t>ipso iure</w:t>
      </w:r>
      <w:r w:rsidR="00550434" w:rsidRPr="00CD542C">
        <w:rPr>
          <w:rFonts w:ascii="Times New Roman" w:hAnsi="Times New Roman"/>
          <w:sz w:val="28"/>
          <w:szCs w:val="28"/>
        </w:rPr>
        <w:t xml:space="preserve"> como</w:t>
      </w:r>
      <w:r w:rsidR="00587195" w:rsidRPr="00CD542C">
        <w:rPr>
          <w:rFonts w:ascii="Times New Roman" w:hAnsi="Times New Roman"/>
          <w:sz w:val="28"/>
          <w:szCs w:val="28"/>
        </w:rPr>
        <w:t xml:space="preserve"> la intención de matar por el hecho de ser mujer.</w:t>
      </w:r>
    </w:p>
    <w:p w:rsidR="00587195" w:rsidRPr="00CD542C" w:rsidRDefault="00587195" w:rsidP="00CD542C">
      <w:pPr>
        <w:spacing w:after="0" w:line="240" w:lineRule="auto"/>
        <w:rPr>
          <w:rFonts w:ascii="Times New Roman" w:hAnsi="Times New Roman"/>
          <w:sz w:val="28"/>
          <w:szCs w:val="28"/>
        </w:rPr>
      </w:pPr>
    </w:p>
    <w:p w:rsidR="005B0C7C" w:rsidRPr="00CD542C" w:rsidRDefault="005B0C7C" w:rsidP="00CD542C">
      <w:pPr>
        <w:widowControl w:val="0"/>
        <w:autoSpaceDE w:val="0"/>
        <w:autoSpaceDN w:val="0"/>
        <w:adjustRightInd w:val="0"/>
        <w:spacing w:after="0" w:line="240" w:lineRule="auto"/>
        <w:jc w:val="both"/>
        <w:rPr>
          <w:rFonts w:ascii="Times New Roman" w:hAnsi="Times New Roman"/>
          <w:sz w:val="28"/>
          <w:szCs w:val="28"/>
        </w:rPr>
      </w:pPr>
      <w:r w:rsidRPr="00CD542C">
        <w:rPr>
          <w:rFonts w:ascii="Times New Roman" w:hAnsi="Times New Roman"/>
          <w:sz w:val="28"/>
          <w:szCs w:val="28"/>
        </w:rPr>
        <w:t>Este Tribunal</w:t>
      </w:r>
      <w:r w:rsidR="00803B83" w:rsidRPr="00CD542C">
        <w:rPr>
          <w:rFonts w:ascii="Times New Roman" w:hAnsi="Times New Roman"/>
          <w:sz w:val="28"/>
          <w:szCs w:val="28"/>
        </w:rPr>
        <w:t xml:space="preserve"> ha reiterado en diversas oportunidades que el Legislador goza de un amplio margen de configuración en materia penal, no obstante, dicho margen encuentra sus límites en la Constitución. Luego, uno de estos límites es el principio de legalidad que a su vez desarrolla el derecho al debido </w:t>
      </w:r>
      <w:r w:rsidR="00803B83" w:rsidRPr="00CD542C">
        <w:rPr>
          <w:rFonts w:ascii="Times New Roman" w:hAnsi="Times New Roman"/>
          <w:sz w:val="28"/>
          <w:szCs w:val="28"/>
        </w:rPr>
        <w:lastRenderedPageBreak/>
        <w:t>proceso. En este sentido, la Corte Constitucional</w:t>
      </w:r>
      <w:r w:rsidRPr="00CD542C">
        <w:rPr>
          <w:rFonts w:ascii="Times New Roman" w:hAnsi="Times New Roman"/>
          <w:sz w:val="28"/>
          <w:szCs w:val="28"/>
        </w:rPr>
        <w:t xml:space="preserve"> ha identificado las diferentes dimensiones del principio de legalidad en materia penal, las cuales comprenden: i) la reserva legal, pues la definición de las conductas punibles le corresponde al Legislador y no a los jueces ni a la administración</w:t>
      </w:r>
      <w:r w:rsidR="00B0512D" w:rsidRPr="00CD542C">
        <w:rPr>
          <w:rFonts w:ascii="Times New Roman" w:hAnsi="Times New Roman"/>
          <w:sz w:val="28"/>
          <w:szCs w:val="28"/>
        </w:rPr>
        <w:t>;</w:t>
      </w:r>
      <w:r w:rsidRPr="00CD542C">
        <w:rPr>
          <w:rFonts w:ascii="Times New Roman" w:hAnsi="Times New Roman"/>
          <w:sz w:val="28"/>
          <w:szCs w:val="28"/>
        </w:rPr>
        <w:t xml:space="preserve"> ii) la prohibición de aplicar retroactivamente las normas penales, por lo que un hecho no puede considerarse delito ni ser objeto de sanción si no existe una ley previa que así lo establezca, salvo el principio de favorabilidad; iii) el principio de legalidad en sentido estricto denominado de tipicidad o taxatividad, exige </w:t>
      </w:r>
      <w:r w:rsidR="0046752F" w:rsidRPr="00CD542C">
        <w:rPr>
          <w:rFonts w:ascii="Times New Roman" w:hAnsi="Times New Roman"/>
          <w:sz w:val="28"/>
          <w:szCs w:val="28"/>
        </w:rPr>
        <w:t>que las conductas punibles no só</w:t>
      </w:r>
      <w:r w:rsidRPr="00CD542C">
        <w:rPr>
          <w:rFonts w:ascii="Times New Roman" w:hAnsi="Times New Roman"/>
          <w:sz w:val="28"/>
          <w:szCs w:val="28"/>
        </w:rPr>
        <w:t xml:space="preserve">lo deben estar previamente establecidas por el Legislador, sino que deben estar inequívocamente definidas por la ley, por lo que la labor del </w:t>
      </w:r>
      <w:r w:rsidR="00550434" w:rsidRPr="00CD542C">
        <w:rPr>
          <w:rFonts w:ascii="Times New Roman" w:hAnsi="Times New Roman"/>
          <w:sz w:val="28"/>
          <w:szCs w:val="28"/>
        </w:rPr>
        <w:t xml:space="preserve">fiscal y del </w:t>
      </w:r>
      <w:r w:rsidRPr="00CD542C">
        <w:rPr>
          <w:rFonts w:ascii="Times New Roman" w:hAnsi="Times New Roman"/>
          <w:sz w:val="28"/>
          <w:szCs w:val="28"/>
        </w:rPr>
        <w:t>juez se limita</w:t>
      </w:r>
      <w:r w:rsidR="00550434" w:rsidRPr="00CD542C">
        <w:rPr>
          <w:rFonts w:ascii="Times New Roman" w:hAnsi="Times New Roman"/>
          <w:sz w:val="28"/>
          <w:szCs w:val="28"/>
        </w:rPr>
        <w:t>n</w:t>
      </w:r>
      <w:r w:rsidRPr="00CD542C">
        <w:rPr>
          <w:rFonts w:ascii="Times New Roman" w:hAnsi="Times New Roman"/>
          <w:sz w:val="28"/>
          <w:szCs w:val="28"/>
        </w:rPr>
        <w:t xml:space="preserve"> a </w:t>
      </w:r>
      <w:r w:rsidR="00550434" w:rsidRPr="00CD542C">
        <w:rPr>
          <w:rFonts w:ascii="Times New Roman" w:hAnsi="Times New Roman"/>
          <w:sz w:val="28"/>
          <w:szCs w:val="28"/>
        </w:rPr>
        <w:t xml:space="preserve">adecuar </w:t>
      </w:r>
      <w:r w:rsidRPr="00CD542C">
        <w:rPr>
          <w:rFonts w:ascii="Times New Roman" w:hAnsi="Times New Roman"/>
          <w:sz w:val="28"/>
          <w:szCs w:val="28"/>
        </w:rPr>
        <w:t>la conducta reprochada a la descripción abstracta realizada por la norma. Sólo de esta manera se cumple con la función garantista y democrática, que se traduce en la protección de la libertad de las personas y el aseguramiento de la igualdad ante el ejercicio del poder punitivo por parte del Estado.</w:t>
      </w:r>
    </w:p>
    <w:p w:rsidR="005B0C7C" w:rsidRPr="00CD542C" w:rsidRDefault="005B0C7C" w:rsidP="00CD542C">
      <w:pPr>
        <w:spacing w:after="0" w:line="240" w:lineRule="auto"/>
        <w:jc w:val="both"/>
        <w:rPr>
          <w:rFonts w:ascii="Times New Roman" w:hAnsi="Times New Roman"/>
          <w:sz w:val="28"/>
          <w:szCs w:val="28"/>
          <w:lang w:eastAsia="es-ES"/>
        </w:rPr>
      </w:pPr>
    </w:p>
    <w:p w:rsidR="005B0C7C" w:rsidRPr="00CD542C" w:rsidRDefault="00DD5D82"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Específicamente</w:t>
      </w:r>
      <w:r w:rsidR="00803B83" w:rsidRPr="00CD542C">
        <w:rPr>
          <w:rFonts w:ascii="Times New Roman" w:hAnsi="Times New Roman"/>
          <w:sz w:val="28"/>
          <w:szCs w:val="28"/>
          <w:lang w:eastAsia="es-ES"/>
        </w:rPr>
        <w:t xml:space="preserve">, </w:t>
      </w:r>
      <w:r w:rsidRPr="00CD542C">
        <w:rPr>
          <w:rFonts w:ascii="Times New Roman" w:hAnsi="Times New Roman"/>
          <w:sz w:val="28"/>
          <w:szCs w:val="28"/>
          <w:lang w:eastAsia="es-ES"/>
        </w:rPr>
        <w:t>respecto</w:t>
      </w:r>
      <w:r w:rsidR="00803B83" w:rsidRPr="00CD542C">
        <w:rPr>
          <w:rFonts w:ascii="Times New Roman" w:hAnsi="Times New Roman"/>
          <w:sz w:val="28"/>
          <w:szCs w:val="28"/>
          <w:lang w:eastAsia="es-ES"/>
        </w:rPr>
        <w:t xml:space="preserve"> al contenido del principio </w:t>
      </w:r>
      <w:r w:rsidR="003F0BD5" w:rsidRPr="00CD542C">
        <w:rPr>
          <w:rFonts w:ascii="Times New Roman" w:hAnsi="Times New Roman"/>
          <w:sz w:val="28"/>
          <w:szCs w:val="28"/>
          <w:lang w:eastAsia="es-ES"/>
        </w:rPr>
        <w:t>de legalidad en sentido estrict</w:t>
      </w:r>
      <w:r w:rsidR="00B0512D" w:rsidRPr="00CD542C">
        <w:rPr>
          <w:rFonts w:ascii="Times New Roman" w:hAnsi="Times New Roman"/>
          <w:sz w:val="28"/>
          <w:szCs w:val="28"/>
          <w:lang w:eastAsia="es-ES"/>
        </w:rPr>
        <w:t>o, es decir e</w:t>
      </w:r>
      <w:r w:rsidR="00803B83" w:rsidRPr="00CD542C">
        <w:rPr>
          <w:rFonts w:ascii="Times New Roman" w:hAnsi="Times New Roman"/>
          <w:sz w:val="28"/>
          <w:szCs w:val="28"/>
          <w:lang w:eastAsia="es-ES"/>
        </w:rPr>
        <w:t>l principio de tipicidad o tax</w:t>
      </w:r>
      <w:r w:rsidR="003F0BD5" w:rsidRPr="00CD542C">
        <w:rPr>
          <w:rFonts w:ascii="Times New Roman" w:hAnsi="Times New Roman"/>
          <w:sz w:val="28"/>
          <w:szCs w:val="28"/>
          <w:lang w:eastAsia="es-ES"/>
        </w:rPr>
        <w:t>atividad, esta C</w:t>
      </w:r>
      <w:r w:rsidR="00803B83" w:rsidRPr="00CD542C">
        <w:rPr>
          <w:rFonts w:ascii="Times New Roman" w:hAnsi="Times New Roman"/>
          <w:sz w:val="28"/>
          <w:szCs w:val="28"/>
          <w:lang w:eastAsia="es-ES"/>
        </w:rPr>
        <w:t>orporación ha dicho que</w:t>
      </w:r>
      <w:r w:rsidR="003F0BD5" w:rsidRPr="00CD542C">
        <w:rPr>
          <w:rFonts w:ascii="Times New Roman" w:hAnsi="Times New Roman"/>
          <w:sz w:val="28"/>
          <w:szCs w:val="28"/>
          <w:lang w:eastAsia="es-ES"/>
        </w:rPr>
        <w:t xml:space="preserve"> se compone de</w:t>
      </w:r>
      <w:r w:rsidRPr="00CD542C">
        <w:rPr>
          <w:rFonts w:ascii="Times New Roman" w:hAnsi="Times New Roman"/>
          <w:sz w:val="28"/>
          <w:szCs w:val="28"/>
          <w:lang w:eastAsia="es-ES"/>
        </w:rPr>
        <w:t xml:space="preserve"> </w:t>
      </w:r>
      <w:r w:rsidR="005B0C7C" w:rsidRPr="00CD542C">
        <w:rPr>
          <w:rFonts w:ascii="Times New Roman" w:hAnsi="Times New Roman"/>
          <w:sz w:val="28"/>
          <w:szCs w:val="28"/>
          <w:lang w:eastAsia="es-ES"/>
        </w:rPr>
        <w:t>los siguientes elementos: i) la conducta sancionable debe estar descrita de manera</w:t>
      </w:r>
      <w:r w:rsidRPr="00CD542C">
        <w:rPr>
          <w:rFonts w:ascii="Times New Roman" w:hAnsi="Times New Roman"/>
          <w:sz w:val="28"/>
          <w:szCs w:val="28"/>
          <w:lang w:eastAsia="es-ES"/>
        </w:rPr>
        <w:t xml:space="preserve"> clara,</w:t>
      </w:r>
      <w:r w:rsidR="005B0C7C" w:rsidRPr="00CD542C">
        <w:rPr>
          <w:rFonts w:ascii="Times New Roman" w:hAnsi="Times New Roman"/>
          <w:sz w:val="28"/>
          <w:szCs w:val="28"/>
          <w:lang w:eastAsia="es-ES"/>
        </w:rPr>
        <w:t xml:space="preserve"> específica y precisa, bien porque está determinada en el mismo cuerpo normativo o sea determinable a partir de la aplicación de otras normas jurídicas; ii) debe existir una sanción cuyo contenido material lo define la ley; y iii) la obligatoria correspondencia entre la conducta y la sanción.</w:t>
      </w:r>
    </w:p>
    <w:p w:rsidR="005B0C7C" w:rsidRPr="00CD542C" w:rsidRDefault="005B0C7C" w:rsidP="00CD542C">
      <w:pPr>
        <w:widowControl w:val="0"/>
        <w:autoSpaceDE w:val="0"/>
        <w:autoSpaceDN w:val="0"/>
        <w:adjustRightInd w:val="0"/>
        <w:spacing w:after="0" w:line="240" w:lineRule="auto"/>
        <w:jc w:val="both"/>
        <w:rPr>
          <w:rFonts w:ascii="Times New Roman" w:hAnsi="Times New Roman"/>
          <w:sz w:val="28"/>
          <w:szCs w:val="28"/>
        </w:rPr>
      </w:pPr>
    </w:p>
    <w:p w:rsidR="003F0BD5" w:rsidRPr="00CD542C" w:rsidRDefault="00DD5D82"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rPr>
        <w:t xml:space="preserve">Sin embargo, la Corte ha admitido límites al principio de tipicidad al </w:t>
      </w:r>
      <w:r w:rsidR="003F0BD5" w:rsidRPr="00CD542C">
        <w:rPr>
          <w:rFonts w:ascii="Times New Roman" w:hAnsi="Times New Roman"/>
          <w:sz w:val="28"/>
          <w:szCs w:val="28"/>
        </w:rPr>
        <w:t>permitir</w:t>
      </w:r>
      <w:r w:rsidR="00AD1F53" w:rsidRPr="00CD542C">
        <w:rPr>
          <w:rFonts w:ascii="Times New Roman" w:hAnsi="Times New Roman"/>
          <w:sz w:val="28"/>
          <w:szCs w:val="28"/>
        </w:rPr>
        <w:t xml:space="preserve"> </w:t>
      </w:r>
      <w:r w:rsidR="00AD1F53" w:rsidRPr="00CD542C">
        <w:rPr>
          <w:rFonts w:ascii="Times New Roman" w:hAnsi="Times New Roman"/>
          <w:sz w:val="28"/>
          <w:szCs w:val="28"/>
          <w:lang w:val="es-CO"/>
        </w:rPr>
        <w:t xml:space="preserve">delitos que gocen de un cierto grado de indeterminación en su descripción típica como los tipos penales abiertos y los tipos penales en blanco. En este sentido, se ha establecido que </w:t>
      </w:r>
      <w:r w:rsidR="003F0BD5" w:rsidRPr="00CD542C">
        <w:rPr>
          <w:rFonts w:ascii="Times New Roman" w:hAnsi="Times New Roman"/>
          <w:sz w:val="28"/>
          <w:szCs w:val="28"/>
          <w:lang w:val="es-CO"/>
        </w:rPr>
        <w:t>el límite que se impone al principio de legalidad subyace en que la determinación de una conducta sólo es posible hasta donde se lo permite su naturaleza</w:t>
      </w:r>
      <w:r w:rsidR="00AD1F53" w:rsidRPr="00CD542C">
        <w:rPr>
          <w:rFonts w:ascii="Times New Roman" w:hAnsi="Times New Roman"/>
          <w:sz w:val="28"/>
          <w:szCs w:val="28"/>
          <w:lang w:val="es-CO"/>
        </w:rPr>
        <w:t>.</w:t>
      </w:r>
      <w:r w:rsidR="0046752F" w:rsidRPr="00CD542C">
        <w:rPr>
          <w:rFonts w:ascii="Times New Roman" w:hAnsi="Times New Roman"/>
          <w:sz w:val="28"/>
          <w:szCs w:val="28"/>
          <w:lang w:val="es-CO"/>
        </w:rPr>
        <w:t xml:space="preserve"> Lo anterior</w:t>
      </w:r>
      <w:r w:rsidR="003F0BD5" w:rsidRPr="00CD542C">
        <w:rPr>
          <w:rFonts w:ascii="Times New Roman" w:hAnsi="Times New Roman"/>
          <w:sz w:val="28"/>
          <w:szCs w:val="28"/>
          <w:lang w:val="es-CO"/>
        </w:rPr>
        <w:t xml:space="preserve"> reconoce que existen ciertas conductas que impiden su descripción exacta en tipos cerrados y completos. Sin embargo, en estos casos la indeterminación del tipo penal no viola el principio de legalidad si el Legislador precisa los elementos básicos para delimitar la prohibición o hace que éstos sean determinables mediante la remisión a otras instancias complementarias. En el caso de los tipos abiertos la remisión es judicial, mientras que en el </w:t>
      </w:r>
      <w:r w:rsidR="00550434" w:rsidRPr="00CD542C">
        <w:rPr>
          <w:rFonts w:ascii="Times New Roman" w:hAnsi="Times New Roman"/>
          <w:sz w:val="28"/>
          <w:szCs w:val="28"/>
          <w:lang w:val="es-CO"/>
        </w:rPr>
        <w:t>caso de los tipos en blanco es a</w:t>
      </w:r>
      <w:r w:rsidR="003F0BD5" w:rsidRPr="00CD542C">
        <w:rPr>
          <w:rFonts w:ascii="Times New Roman" w:hAnsi="Times New Roman"/>
          <w:sz w:val="28"/>
          <w:szCs w:val="28"/>
          <w:lang w:val="es-CO"/>
        </w:rPr>
        <w:t xml:space="preserve"> otros contenidos normativos.</w:t>
      </w:r>
    </w:p>
    <w:p w:rsidR="00401C20" w:rsidRPr="00CD542C" w:rsidRDefault="00401C20" w:rsidP="00CD542C">
      <w:pPr>
        <w:spacing w:after="0" w:line="240" w:lineRule="auto"/>
        <w:jc w:val="both"/>
        <w:rPr>
          <w:rFonts w:ascii="Times New Roman" w:hAnsi="Times New Roman"/>
          <w:sz w:val="28"/>
          <w:szCs w:val="28"/>
          <w:lang w:val="es-CO"/>
        </w:rPr>
      </w:pPr>
    </w:p>
    <w:p w:rsidR="005B0C7C" w:rsidRPr="00CD542C" w:rsidRDefault="00AD1F53" w:rsidP="00CD542C">
      <w:pPr>
        <w:spacing w:after="0" w:line="240" w:lineRule="auto"/>
        <w:jc w:val="both"/>
        <w:rPr>
          <w:rFonts w:ascii="Times New Roman" w:hAnsi="Times New Roman"/>
          <w:sz w:val="28"/>
          <w:szCs w:val="28"/>
          <w:lang w:val="es-CO"/>
        </w:rPr>
      </w:pPr>
      <w:r w:rsidRPr="00CD542C">
        <w:rPr>
          <w:rFonts w:ascii="Times New Roman" w:hAnsi="Times New Roman"/>
          <w:sz w:val="28"/>
          <w:szCs w:val="28"/>
          <w:lang w:val="es-CO"/>
        </w:rPr>
        <w:t xml:space="preserve">Entonces, </w:t>
      </w:r>
      <w:r w:rsidR="005B0C7C" w:rsidRPr="00CD542C">
        <w:rPr>
          <w:rFonts w:ascii="Times New Roman" w:hAnsi="Times New Roman"/>
          <w:sz w:val="28"/>
          <w:szCs w:val="28"/>
        </w:rPr>
        <w:t>los tipos penales abiertos no violan el principio de legalidad siempre que: i)</w:t>
      </w:r>
      <w:r w:rsidRPr="00CD542C">
        <w:rPr>
          <w:rFonts w:ascii="Times New Roman" w:hAnsi="Times New Roman"/>
          <w:sz w:val="28"/>
          <w:szCs w:val="28"/>
        </w:rPr>
        <w:t xml:space="preserve"> la naturaleza del tipo impida</w:t>
      </w:r>
      <w:r w:rsidR="005B0C7C" w:rsidRPr="00CD542C">
        <w:rPr>
          <w:rFonts w:ascii="Times New Roman" w:hAnsi="Times New Roman"/>
          <w:sz w:val="28"/>
          <w:szCs w:val="28"/>
        </w:rPr>
        <w:t xml:space="preserve"> su descri</w:t>
      </w:r>
      <w:r w:rsidR="00B0512D" w:rsidRPr="00CD542C">
        <w:rPr>
          <w:rFonts w:ascii="Times New Roman" w:hAnsi="Times New Roman"/>
          <w:sz w:val="28"/>
          <w:szCs w:val="28"/>
        </w:rPr>
        <w:t>pción exacta, pero contenga</w:t>
      </w:r>
      <w:r w:rsidR="005B0C7C" w:rsidRPr="00CD542C">
        <w:rPr>
          <w:rFonts w:ascii="Times New Roman" w:hAnsi="Times New Roman"/>
          <w:sz w:val="28"/>
          <w:szCs w:val="28"/>
        </w:rPr>
        <w:t xml:space="preserve"> los elementos básicos pa</w:t>
      </w:r>
      <w:r w:rsidR="00B0512D" w:rsidRPr="00CD542C">
        <w:rPr>
          <w:rFonts w:ascii="Times New Roman" w:hAnsi="Times New Roman"/>
          <w:sz w:val="28"/>
          <w:szCs w:val="28"/>
        </w:rPr>
        <w:t>ra delimitar la prohibición; ii</w:t>
      </w:r>
      <w:r w:rsidR="005B0C7C" w:rsidRPr="00CD542C">
        <w:rPr>
          <w:rFonts w:ascii="Times New Roman" w:hAnsi="Times New Roman"/>
          <w:sz w:val="28"/>
          <w:szCs w:val="28"/>
        </w:rPr>
        <w:t>) el destinatario pueda comprender cuál es el comportamiento sancionado, lo cual se verifica cuando mediante un ejercicio de ac</w:t>
      </w:r>
      <w:r w:rsidR="00550434" w:rsidRPr="00CD542C">
        <w:rPr>
          <w:rFonts w:ascii="Times New Roman" w:hAnsi="Times New Roman"/>
          <w:sz w:val="28"/>
          <w:szCs w:val="28"/>
        </w:rPr>
        <w:t>tividad interpretativa ordinaria</w:t>
      </w:r>
      <w:r w:rsidR="005B0C7C" w:rsidRPr="00CD542C">
        <w:rPr>
          <w:rFonts w:ascii="Times New Roman" w:hAnsi="Times New Roman"/>
          <w:sz w:val="28"/>
          <w:szCs w:val="28"/>
        </w:rPr>
        <w:t xml:space="preserve"> se puede precisar el alcance de la prohibición o cuando existe un referente especializado que </w:t>
      </w:r>
      <w:r w:rsidR="00550434" w:rsidRPr="00CD542C">
        <w:rPr>
          <w:rFonts w:ascii="Times New Roman" w:hAnsi="Times New Roman"/>
          <w:sz w:val="28"/>
          <w:szCs w:val="28"/>
        </w:rPr>
        <w:t xml:space="preserve">defina </w:t>
      </w:r>
      <w:r w:rsidR="005B0C7C" w:rsidRPr="00CD542C">
        <w:rPr>
          <w:rFonts w:ascii="Times New Roman" w:hAnsi="Times New Roman"/>
          <w:sz w:val="28"/>
          <w:szCs w:val="28"/>
        </w:rPr>
        <w:t>los parámetros específicos del contenido y alcance de la prohibición.</w:t>
      </w:r>
    </w:p>
    <w:p w:rsidR="00AD1F53" w:rsidRPr="00CD542C" w:rsidRDefault="00AD1F53" w:rsidP="00CD542C">
      <w:pPr>
        <w:spacing w:after="0" w:line="240" w:lineRule="auto"/>
        <w:jc w:val="both"/>
        <w:rPr>
          <w:rFonts w:ascii="Times New Roman" w:hAnsi="Times New Roman"/>
          <w:sz w:val="28"/>
          <w:szCs w:val="28"/>
        </w:rPr>
      </w:pPr>
    </w:p>
    <w:p w:rsidR="005B0C7C" w:rsidRPr="00CD542C" w:rsidRDefault="00270034" w:rsidP="00CD542C">
      <w:pPr>
        <w:spacing w:after="0" w:line="240" w:lineRule="auto"/>
        <w:jc w:val="both"/>
        <w:rPr>
          <w:rFonts w:ascii="Times New Roman" w:hAnsi="Times New Roman"/>
          <w:sz w:val="28"/>
          <w:szCs w:val="28"/>
        </w:rPr>
      </w:pPr>
      <w:r w:rsidRPr="00CD542C">
        <w:rPr>
          <w:rFonts w:ascii="Times New Roman" w:hAnsi="Times New Roman"/>
          <w:sz w:val="28"/>
          <w:szCs w:val="28"/>
          <w:lang w:val="es-CO"/>
        </w:rPr>
        <w:lastRenderedPageBreak/>
        <w:t>A su vez</w:t>
      </w:r>
      <w:r w:rsidR="00AD1F53" w:rsidRPr="00CD542C">
        <w:rPr>
          <w:rFonts w:ascii="Times New Roman" w:hAnsi="Times New Roman"/>
          <w:sz w:val="28"/>
          <w:szCs w:val="28"/>
        </w:rPr>
        <w:t xml:space="preserve">, </w:t>
      </w:r>
      <w:r w:rsidR="005B0C7C" w:rsidRPr="00CD542C">
        <w:rPr>
          <w:rFonts w:ascii="Times New Roman" w:hAnsi="Times New Roman"/>
          <w:sz w:val="28"/>
          <w:szCs w:val="28"/>
        </w:rPr>
        <w:t xml:space="preserve">los tipos penales en blanco no violan el principio de legalidad siempre que </w:t>
      </w:r>
      <w:r w:rsidR="00AD1F53" w:rsidRPr="00CD542C">
        <w:rPr>
          <w:rFonts w:ascii="Times New Roman" w:hAnsi="Times New Roman"/>
          <w:sz w:val="28"/>
          <w:szCs w:val="28"/>
        </w:rPr>
        <w:t xml:space="preserve">describan previamente la conducta reprochada </w:t>
      </w:r>
      <w:r w:rsidR="005B0C7C" w:rsidRPr="00CD542C">
        <w:rPr>
          <w:rFonts w:ascii="Times New Roman" w:hAnsi="Times New Roman"/>
          <w:sz w:val="28"/>
          <w:szCs w:val="28"/>
        </w:rPr>
        <w:t>de forma clara e inequívoca</w:t>
      </w:r>
      <w:r w:rsidR="00B0512D" w:rsidRPr="00CD542C">
        <w:rPr>
          <w:rFonts w:ascii="Times New Roman" w:hAnsi="Times New Roman"/>
          <w:sz w:val="28"/>
          <w:szCs w:val="28"/>
        </w:rPr>
        <w:t>.</w:t>
      </w:r>
      <w:r w:rsidR="005B0C7C" w:rsidRPr="00CD542C">
        <w:rPr>
          <w:rFonts w:ascii="Times New Roman" w:hAnsi="Times New Roman"/>
          <w:sz w:val="28"/>
          <w:szCs w:val="28"/>
        </w:rPr>
        <w:t xml:space="preserve"> </w:t>
      </w:r>
      <w:r w:rsidR="00AD1F53" w:rsidRPr="00CD542C">
        <w:rPr>
          <w:rFonts w:ascii="Times New Roman" w:hAnsi="Times New Roman"/>
          <w:sz w:val="28"/>
          <w:szCs w:val="28"/>
        </w:rPr>
        <w:t>Luego</w:t>
      </w:r>
      <w:r w:rsidR="005B0C7C" w:rsidRPr="00CD542C">
        <w:rPr>
          <w:rFonts w:ascii="Times New Roman" w:hAnsi="Times New Roman"/>
          <w:sz w:val="28"/>
          <w:szCs w:val="28"/>
        </w:rPr>
        <w:t>,</w:t>
      </w:r>
      <w:r w:rsidR="00AD1F53" w:rsidRPr="00CD542C">
        <w:rPr>
          <w:rFonts w:ascii="Times New Roman" w:hAnsi="Times New Roman"/>
          <w:sz w:val="28"/>
          <w:szCs w:val="28"/>
        </w:rPr>
        <w:t xml:space="preserve"> en los tipos penales en blanco</w:t>
      </w:r>
      <w:r w:rsidR="005B0C7C" w:rsidRPr="00CD542C">
        <w:rPr>
          <w:rFonts w:ascii="Times New Roman" w:hAnsi="Times New Roman"/>
          <w:sz w:val="28"/>
          <w:szCs w:val="28"/>
        </w:rPr>
        <w:t xml:space="preserve"> la claridad y la certeza de la descripción típica admite que se haga referencia a otras normas de distinto rango legal mientras que éstas sean determinables. Así, la norma que completa el tipo penal puede no haber sido expedida, pero debe existir al momento de la confirmación del tipo y la remisión a normas de inferior jerarquía debe cumplir con los principios de claridad, precisión, generalidad y publicidad, además de estar acordes con los principios y valores constitucionales.  </w:t>
      </w:r>
    </w:p>
    <w:p w:rsidR="005B0C7C" w:rsidRPr="00CD542C" w:rsidRDefault="005B0C7C" w:rsidP="00CD542C">
      <w:pPr>
        <w:spacing w:after="0" w:line="240" w:lineRule="auto"/>
        <w:rPr>
          <w:rFonts w:ascii="Times New Roman" w:hAnsi="Times New Roman"/>
          <w:sz w:val="28"/>
          <w:szCs w:val="28"/>
        </w:rPr>
      </w:pPr>
    </w:p>
    <w:p w:rsidR="00A11CCA" w:rsidRPr="00CD542C" w:rsidRDefault="00A11CCA" w:rsidP="00CD542C">
      <w:pPr>
        <w:spacing w:after="0" w:line="240" w:lineRule="auto"/>
        <w:jc w:val="both"/>
        <w:rPr>
          <w:rFonts w:ascii="Times New Roman" w:hAnsi="Times New Roman"/>
          <w:sz w:val="28"/>
          <w:szCs w:val="28"/>
        </w:rPr>
      </w:pPr>
      <w:r w:rsidRPr="00CD542C">
        <w:rPr>
          <w:rFonts w:ascii="Times New Roman" w:hAnsi="Times New Roman"/>
          <w:sz w:val="28"/>
          <w:szCs w:val="28"/>
        </w:rPr>
        <w:t>La violencia de género es un fenómeno social vigente que se fundamenta en la discriminación de la mujer y tiene serias consecuencias para el goce de sus derechos fundamentales. Así, a partir de las disposiciones constitucionales y del bloque de constitucionalidad se ha reconocido un derecho fundamental para las mujeres a estar libre</w:t>
      </w:r>
      <w:r w:rsidR="0046752F" w:rsidRPr="00CD542C">
        <w:rPr>
          <w:rFonts w:ascii="Times New Roman" w:hAnsi="Times New Roman"/>
          <w:sz w:val="28"/>
          <w:szCs w:val="28"/>
        </w:rPr>
        <w:t>s</w:t>
      </w:r>
      <w:r w:rsidRPr="00CD542C">
        <w:rPr>
          <w:rFonts w:ascii="Times New Roman" w:hAnsi="Times New Roman"/>
          <w:sz w:val="28"/>
          <w:szCs w:val="28"/>
        </w:rPr>
        <w:t xml:space="preserve"> de violencia</w:t>
      </w:r>
      <w:r w:rsidR="00090200" w:rsidRPr="00CD542C">
        <w:rPr>
          <w:rFonts w:ascii="Times New Roman" w:hAnsi="Times New Roman"/>
          <w:sz w:val="28"/>
          <w:szCs w:val="28"/>
        </w:rPr>
        <w:t>,</w:t>
      </w:r>
      <w:r w:rsidRPr="00CD542C">
        <w:rPr>
          <w:rFonts w:ascii="Times New Roman" w:hAnsi="Times New Roman"/>
          <w:sz w:val="28"/>
          <w:szCs w:val="28"/>
        </w:rPr>
        <w:t xml:space="preserve"> que a su vez comporta el deber estatal de adoptar todas las medidas para prevenir </w:t>
      </w:r>
      <w:r w:rsidR="00090200" w:rsidRPr="00CD542C">
        <w:rPr>
          <w:rFonts w:ascii="Times New Roman" w:hAnsi="Times New Roman"/>
          <w:sz w:val="28"/>
          <w:szCs w:val="28"/>
        </w:rPr>
        <w:t xml:space="preserve">y atender </w:t>
      </w:r>
      <w:r w:rsidRPr="00CD542C">
        <w:rPr>
          <w:rFonts w:ascii="Times New Roman" w:hAnsi="Times New Roman"/>
          <w:sz w:val="28"/>
          <w:szCs w:val="28"/>
        </w:rPr>
        <w:t>la violencia</w:t>
      </w:r>
      <w:r w:rsidR="00606F86" w:rsidRPr="00CD542C">
        <w:rPr>
          <w:rFonts w:ascii="Times New Roman" w:hAnsi="Times New Roman"/>
          <w:sz w:val="28"/>
          <w:szCs w:val="28"/>
        </w:rPr>
        <w:t xml:space="preserve"> en su</w:t>
      </w:r>
      <w:r w:rsidRPr="00CD542C">
        <w:rPr>
          <w:rFonts w:ascii="Times New Roman" w:hAnsi="Times New Roman"/>
          <w:sz w:val="28"/>
          <w:szCs w:val="28"/>
        </w:rPr>
        <w:t xml:space="preserve"> contra.</w:t>
      </w:r>
      <w:r w:rsidR="00F144C3" w:rsidRPr="00CD542C">
        <w:rPr>
          <w:rFonts w:ascii="Times New Roman" w:hAnsi="Times New Roman"/>
          <w:sz w:val="28"/>
          <w:szCs w:val="28"/>
        </w:rPr>
        <w:t xml:space="preserve"> Este</w:t>
      </w:r>
      <w:r w:rsidRPr="00CD542C">
        <w:rPr>
          <w:rFonts w:ascii="Times New Roman" w:hAnsi="Times New Roman"/>
          <w:sz w:val="28"/>
          <w:szCs w:val="28"/>
        </w:rPr>
        <w:t xml:space="preserve"> marco </w:t>
      </w:r>
      <w:r w:rsidR="0046752F" w:rsidRPr="00CD542C">
        <w:rPr>
          <w:rFonts w:ascii="Times New Roman" w:hAnsi="Times New Roman"/>
          <w:sz w:val="28"/>
          <w:szCs w:val="28"/>
        </w:rPr>
        <w:t xml:space="preserve">también </w:t>
      </w:r>
      <w:r w:rsidRPr="00CD542C">
        <w:rPr>
          <w:rFonts w:ascii="Times New Roman" w:hAnsi="Times New Roman"/>
          <w:sz w:val="28"/>
          <w:szCs w:val="28"/>
        </w:rPr>
        <w:t xml:space="preserve">impone la obligación </w:t>
      </w:r>
      <w:r w:rsidR="0046752F" w:rsidRPr="00CD542C">
        <w:rPr>
          <w:rFonts w:ascii="Times New Roman" w:hAnsi="Times New Roman"/>
          <w:sz w:val="28"/>
          <w:szCs w:val="28"/>
        </w:rPr>
        <w:t xml:space="preserve">al Estado </w:t>
      </w:r>
      <w:r w:rsidRPr="00CD542C">
        <w:rPr>
          <w:rFonts w:ascii="Times New Roman" w:hAnsi="Times New Roman"/>
          <w:sz w:val="28"/>
          <w:szCs w:val="28"/>
        </w:rPr>
        <w:t>de debida diligencia de prevenir,</w:t>
      </w:r>
      <w:r w:rsidR="00606F86" w:rsidRPr="00CD542C">
        <w:rPr>
          <w:rFonts w:ascii="Times New Roman" w:hAnsi="Times New Roman"/>
          <w:sz w:val="28"/>
          <w:szCs w:val="28"/>
        </w:rPr>
        <w:t xml:space="preserve"> atender,</w:t>
      </w:r>
      <w:r w:rsidRPr="00CD542C">
        <w:rPr>
          <w:rFonts w:ascii="Times New Roman" w:hAnsi="Times New Roman"/>
          <w:sz w:val="28"/>
          <w:szCs w:val="28"/>
        </w:rPr>
        <w:t xml:space="preserve"> investigar y sancion</w:t>
      </w:r>
      <w:r w:rsidR="00F144C3" w:rsidRPr="00CD542C">
        <w:rPr>
          <w:rFonts w:ascii="Times New Roman" w:hAnsi="Times New Roman"/>
          <w:sz w:val="28"/>
          <w:szCs w:val="28"/>
        </w:rPr>
        <w:t>ar la violencia contra la mujer</w:t>
      </w:r>
      <w:r w:rsidR="0046752F" w:rsidRPr="00CD542C">
        <w:rPr>
          <w:rFonts w:ascii="Times New Roman" w:hAnsi="Times New Roman"/>
          <w:sz w:val="28"/>
          <w:szCs w:val="28"/>
        </w:rPr>
        <w:t>,</w:t>
      </w:r>
      <w:r w:rsidRPr="00CD542C">
        <w:rPr>
          <w:rFonts w:ascii="Times New Roman" w:hAnsi="Times New Roman"/>
          <w:sz w:val="28"/>
          <w:szCs w:val="28"/>
        </w:rPr>
        <w:t xml:space="preserve"> </w:t>
      </w:r>
      <w:r w:rsidR="0046752F" w:rsidRPr="00CD542C">
        <w:rPr>
          <w:rFonts w:ascii="Times New Roman" w:hAnsi="Times New Roman"/>
          <w:sz w:val="28"/>
          <w:szCs w:val="28"/>
        </w:rPr>
        <w:t>la</w:t>
      </w:r>
      <w:r w:rsidR="00F144C3" w:rsidRPr="00CD542C">
        <w:rPr>
          <w:rFonts w:ascii="Times New Roman" w:hAnsi="Times New Roman"/>
          <w:sz w:val="28"/>
          <w:szCs w:val="28"/>
        </w:rPr>
        <w:t xml:space="preserve"> cual </w:t>
      </w:r>
      <w:r w:rsidRPr="00CD542C">
        <w:rPr>
          <w:rFonts w:ascii="Times New Roman" w:hAnsi="Times New Roman"/>
          <w:sz w:val="28"/>
          <w:szCs w:val="28"/>
        </w:rPr>
        <w:t>no se limita a adoptar medidas de tipo penal sino también debe contempl</w:t>
      </w:r>
      <w:r w:rsidR="00F144C3" w:rsidRPr="00CD542C">
        <w:rPr>
          <w:rFonts w:ascii="Times New Roman" w:hAnsi="Times New Roman"/>
          <w:sz w:val="28"/>
          <w:szCs w:val="28"/>
        </w:rPr>
        <w:t xml:space="preserve">ar medidas sociales y educativas, entre otras, </w:t>
      </w:r>
      <w:r w:rsidRPr="00CD542C">
        <w:rPr>
          <w:rFonts w:ascii="Times New Roman" w:hAnsi="Times New Roman"/>
          <w:sz w:val="28"/>
          <w:szCs w:val="28"/>
        </w:rPr>
        <w:t>que contribuyan de forma efectiva a revertir las condiciones sociales que fomentan los estereotipos</w:t>
      </w:r>
      <w:r w:rsidR="0071463C" w:rsidRPr="00CD542C">
        <w:rPr>
          <w:rFonts w:ascii="Times New Roman" w:hAnsi="Times New Roman"/>
          <w:sz w:val="28"/>
          <w:szCs w:val="28"/>
        </w:rPr>
        <w:t xml:space="preserve"> negativos</w:t>
      </w:r>
      <w:r w:rsidRPr="00CD542C">
        <w:rPr>
          <w:rFonts w:ascii="Times New Roman" w:hAnsi="Times New Roman"/>
          <w:sz w:val="28"/>
          <w:szCs w:val="28"/>
        </w:rPr>
        <w:t xml:space="preserve"> de género y </w:t>
      </w:r>
      <w:r w:rsidR="00606F86" w:rsidRPr="00CD542C">
        <w:rPr>
          <w:rFonts w:ascii="Times New Roman" w:hAnsi="Times New Roman"/>
          <w:sz w:val="28"/>
          <w:szCs w:val="28"/>
        </w:rPr>
        <w:t>evite</w:t>
      </w:r>
      <w:r w:rsidRPr="00CD542C">
        <w:rPr>
          <w:rFonts w:ascii="Times New Roman" w:hAnsi="Times New Roman"/>
          <w:sz w:val="28"/>
          <w:szCs w:val="28"/>
        </w:rPr>
        <w:t xml:space="preserve">n </w:t>
      </w:r>
      <w:r w:rsidR="00606F86" w:rsidRPr="00CD542C">
        <w:rPr>
          <w:rFonts w:ascii="Times New Roman" w:hAnsi="Times New Roman"/>
          <w:sz w:val="28"/>
          <w:szCs w:val="28"/>
        </w:rPr>
        <w:t xml:space="preserve">el goce </w:t>
      </w:r>
      <w:r w:rsidR="00F144C3" w:rsidRPr="00CD542C">
        <w:rPr>
          <w:rFonts w:ascii="Times New Roman" w:hAnsi="Times New Roman"/>
          <w:sz w:val="28"/>
          <w:szCs w:val="28"/>
        </w:rPr>
        <w:t>de la igualdad sustantiva.</w:t>
      </w:r>
      <w:r w:rsidRPr="00CD542C">
        <w:rPr>
          <w:rFonts w:ascii="Times New Roman" w:hAnsi="Times New Roman"/>
          <w:sz w:val="28"/>
          <w:szCs w:val="28"/>
        </w:rPr>
        <w:t xml:space="preserve"> </w:t>
      </w:r>
    </w:p>
    <w:p w:rsidR="00A11CCA" w:rsidRPr="00CD542C" w:rsidRDefault="00A11CCA" w:rsidP="00CD542C">
      <w:pPr>
        <w:spacing w:after="0" w:line="240" w:lineRule="auto"/>
        <w:jc w:val="both"/>
        <w:rPr>
          <w:rFonts w:ascii="Times New Roman" w:hAnsi="Times New Roman"/>
          <w:b/>
          <w:bCs/>
          <w:sz w:val="28"/>
          <w:szCs w:val="28"/>
        </w:rPr>
      </w:pPr>
    </w:p>
    <w:p w:rsidR="00A11CCA" w:rsidRPr="00CD542C" w:rsidRDefault="00A11CCA" w:rsidP="00CD542C">
      <w:pPr>
        <w:spacing w:after="0" w:line="240" w:lineRule="auto"/>
        <w:jc w:val="both"/>
        <w:rPr>
          <w:rFonts w:ascii="Times New Roman" w:hAnsi="Times New Roman"/>
          <w:sz w:val="28"/>
          <w:szCs w:val="28"/>
        </w:rPr>
      </w:pPr>
      <w:r w:rsidRPr="00CD542C">
        <w:rPr>
          <w:rFonts w:ascii="Times New Roman" w:hAnsi="Times New Roman"/>
          <w:b/>
          <w:bCs/>
          <w:sz w:val="28"/>
          <w:szCs w:val="28"/>
        </w:rPr>
        <w:t>Así pues,</w:t>
      </w:r>
      <w:r w:rsidRPr="00CD542C">
        <w:rPr>
          <w:rFonts w:ascii="Times New Roman" w:hAnsi="Times New Roman"/>
          <w:sz w:val="28"/>
          <w:szCs w:val="28"/>
        </w:rPr>
        <w:t xml:space="preserve"> </w:t>
      </w:r>
      <w:r w:rsidRPr="00CD542C">
        <w:rPr>
          <w:rFonts w:ascii="Times New Roman" w:hAnsi="Times New Roman"/>
          <w:b/>
          <w:bCs/>
          <w:sz w:val="28"/>
          <w:szCs w:val="28"/>
        </w:rPr>
        <w:t xml:space="preserve">el deber de debida diligencia en la prevención, </w:t>
      </w:r>
      <w:r w:rsidR="00606F86" w:rsidRPr="00CD542C">
        <w:rPr>
          <w:rFonts w:ascii="Times New Roman" w:hAnsi="Times New Roman"/>
          <w:b/>
          <w:bCs/>
          <w:sz w:val="28"/>
          <w:szCs w:val="28"/>
        </w:rPr>
        <w:t xml:space="preserve">atención, </w:t>
      </w:r>
      <w:r w:rsidRPr="00CD542C">
        <w:rPr>
          <w:rFonts w:ascii="Times New Roman" w:hAnsi="Times New Roman"/>
          <w:b/>
          <w:bCs/>
          <w:sz w:val="28"/>
          <w:szCs w:val="28"/>
        </w:rPr>
        <w:t>investigación y sanción de la violencia con</w:t>
      </w:r>
      <w:r w:rsidR="00F34BB8" w:rsidRPr="00CD542C">
        <w:rPr>
          <w:rFonts w:ascii="Times New Roman" w:hAnsi="Times New Roman"/>
          <w:b/>
          <w:bCs/>
          <w:sz w:val="28"/>
          <w:szCs w:val="28"/>
        </w:rPr>
        <w:t>tra la mujer impone al Estado l</w:t>
      </w:r>
      <w:r w:rsidRPr="00CD542C">
        <w:rPr>
          <w:rFonts w:ascii="Times New Roman" w:hAnsi="Times New Roman"/>
          <w:b/>
          <w:bCs/>
          <w:sz w:val="28"/>
          <w:szCs w:val="28"/>
        </w:rPr>
        <w:t xml:space="preserve">a carga </w:t>
      </w:r>
      <w:r w:rsidR="00F34BB8" w:rsidRPr="00CD542C">
        <w:rPr>
          <w:rFonts w:ascii="Times New Roman" w:hAnsi="Times New Roman"/>
          <w:b/>
          <w:bCs/>
          <w:sz w:val="28"/>
          <w:szCs w:val="28"/>
        </w:rPr>
        <w:t>de adoptar</w:t>
      </w:r>
      <w:r w:rsidRPr="00CD542C">
        <w:rPr>
          <w:rFonts w:ascii="Times New Roman" w:hAnsi="Times New Roman"/>
          <w:b/>
          <w:bCs/>
          <w:sz w:val="28"/>
          <w:szCs w:val="28"/>
        </w:rPr>
        <w:t xml:space="preserve"> una perspectiva de género en la investigación de estos delitos y violaciones de derechos humanos. </w:t>
      </w:r>
      <w:r w:rsidR="00F34BB8" w:rsidRPr="00CD542C">
        <w:rPr>
          <w:rFonts w:ascii="Times New Roman" w:hAnsi="Times New Roman"/>
          <w:b/>
          <w:bCs/>
          <w:sz w:val="28"/>
          <w:szCs w:val="28"/>
        </w:rPr>
        <w:t>Esto implica</w:t>
      </w:r>
      <w:r w:rsidR="00F34BB8" w:rsidRPr="00CD542C">
        <w:rPr>
          <w:rFonts w:ascii="Times New Roman" w:hAnsi="Times New Roman"/>
          <w:sz w:val="28"/>
          <w:szCs w:val="28"/>
        </w:rPr>
        <w:t xml:space="preserve"> </w:t>
      </w:r>
      <w:r w:rsidRPr="00CD542C">
        <w:rPr>
          <w:rFonts w:ascii="Times New Roman" w:hAnsi="Times New Roman"/>
          <w:b/>
          <w:bCs/>
          <w:sz w:val="28"/>
          <w:szCs w:val="28"/>
        </w:rPr>
        <w:t>tener en cuenta la desigualdad que ha sufrido la mujer como un factor que la pone en una situación de riesgo y amenaza de violencia</w:t>
      </w:r>
      <w:r w:rsidR="00090200" w:rsidRPr="00CD542C">
        <w:rPr>
          <w:rFonts w:ascii="Times New Roman" w:hAnsi="Times New Roman"/>
          <w:b/>
          <w:bCs/>
          <w:sz w:val="28"/>
          <w:szCs w:val="28"/>
        </w:rPr>
        <w:t>,</w:t>
      </w:r>
      <w:r w:rsidR="00F34BB8" w:rsidRPr="00CD542C">
        <w:rPr>
          <w:rFonts w:ascii="Times New Roman" w:hAnsi="Times New Roman"/>
          <w:sz w:val="28"/>
          <w:szCs w:val="28"/>
        </w:rPr>
        <w:t xml:space="preserve"> </w:t>
      </w:r>
      <w:r w:rsidR="00F34BB8" w:rsidRPr="00CD542C">
        <w:rPr>
          <w:rFonts w:ascii="Times New Roman" w:hAnsi="Times New Roman"/>
          <w:b/>
          <w:bCs/>
          <w:sz w:val="28"/>
          <w:szCs w:val="28"/>
        </w:rPr>
        <w:t>y en este caso</w:t>
      </w:r>
      <w:r w:rsidR="00090200" w:rsidRPr="00CD542C">
        <w:rPr>
          <w:rFonts w:ascii="Times New Roman" w:hAnsi="Times New Roman"/>
          <w:b/>
          <w:bCs/>
          <w:sz w:val="28"/>
          <w:szCs w:val="28"/>
        </w:rPr>
        <w:t>,</w:t>
      </w:r>
      <w:r w:rsidR="00F34BB8" w:rsidRPr="00CD542C">
        <w:rPr>
          <w:rFonts w:ascii="Times New Roman" w:hAnsi="Times New Roman"/>
          <w:b/>
          <w:bCs/>
          <w:sz w:val="28"/>
          <w:szCs w:val="28"/>
        </w:rPr>
        <w:t xml:space="preserve"> verificar si existe una relación entre la víctima y el victimario de discriminación como motivación de la conducta.</w:t>
      </w:r>
    </w:p>
    <w:p w:rsidR="00A11CCA" w:rsidRPr="00CD542C" w:rsidRDefault="00A11CCA" w:rsidP="00CD542C">
      <w:pPr>
        <w:spacing w:after="0" w:line="240" w:lineRule="auto"/>
        <w:rPr>
          <w:rFonts w:ascii="Times New Roman" w:hAnsi="Times New Roman"/>
          <w:sz w:val="28"/>
          <w:szCs w:val="28"/>
        </w:rPr>
      </w:pPr>
    </w:p>
    <w:p w:rsidR="005B0C7C" w:rsidRPr="00CD542C" w:rsidRDefault="00270034" w:rsidP="00CD542C">
      <w:pPr>
        <w:spacing w:after="0" w:line="240" w:lineRule="auto"/>
        <w:jc w:val="both"/>
        <w:rPr>
          <w:rFonts w:ascii="Times New Roman" w:hAnsi="Times New Roman"/>
          <w:sz w:val="28"/>
          <w:szCs w:val="28"/>
        </w:rPr>
      </w:pPr>
      <w:r w:rsidRPr="00CD542C">
        <w:rPr>
          <w:rFonts w:ascii="Times New Roman" w:hAnsi="Times New Roman"/>
          <w:sz w:val="28"/>
          <w:szCs w:val="28"/>
        </w:rPr>
        <w:t>Ahora bien, e</w:t>
      </w:r>
      <w:r w:rsidR="002270F9" w:rsidRPr="00CD542C">
        <w:rPr>
          <w:rFonts w:ascii="Times New Roman" w:hAnsi="Times New Roman"/>
          <w:sz w:val="28"/>
          <w:szCs w:val="28"/>
        </w:rPr>
        <w:t>l feminicidio ha sido desarrollado por diferentes instancias internacionales de derechos humanos como una posible forma de tipificar un crimen relacionado con el género</w:t>
      </w:r>
      <w:r w:rsidR="00204444" w:rsidRPr="00CD542C">
        <w:rPr>
          <w:rFonts w:ascii="Times New Roman" w:hAnsi="Times New Roman"/>
          <w:sz w:val="28"/>
          <w:szCs w:val="28"/>
        </w:rPr>
        <w:t xml:space="preserve"> y de cumplir con las obligaciones internacionales respecto al deber de debida diligencia en la erradicación, prevención, investigación, y sanción de la violencia contra las mujeres y la garantía del acceso a la justicia</w:t>
      </w:r>
      <w:r w:rsidR="002270F9" w:rsidRPr="00CD542C">
        <w:rPr>
          <w:rFonts w:ascii="Times New Roman" w:hAnsi="Times New Roman"/>
          <w:sz w:val="28"/>
          <w:szCs w:val="28"/>
        </w:rPr>
        <w:t>. En estas instancias éste se ha definido, en términos generales, como el homicidio de una mujer por razones de género. Su evolución conceptual ha establecido que el contexto en el que sucede el homicidio puede ser determinante para identificar el móvil o intención en el asesinato que con</w:t>
      </w:r>
      <w:r w:rsidRPr="00CD542C">
        <w:rPr>
          <w:rFonts w:ascii="Times New Roman" w:hAnsi="Times New Roman"/>
          <w:sz w:val="28"/>
          <w:szCs w:val="28"/>
        </w:rPr>
        <w:t>figura el delito. Esta posición</w:t>
      </w:r>
      <w:r w:rsidR="002270F9" w:rsidRPr="00CD542C">
        <w:rPr>
          <w:rFonts w:ascii="Times New Roman" w:hAnsi="Times New Roman"/>
          <w:sz w:val="28"/>
          <w:szCs w:val="28"/>
        </w:rPr>
        <w:t xml:space="preserve"> ha sido compartida por varios de los países en América Latina que han tipificado el feminicidio como delito autónomo y han incluido criterios de violencia anterior al asesinato como un elemento para establecer la intención. </w:t>
      </w:r>
    </w:p>
    <w:p w:rsidR="0068434F" w:rsidRPr="00CD542C" w:rsidRDefault="0068434F" w:rsidP="00CD542C">
      <w:pPr>
        <w:spacing w:after="0" w:line="240" w:lineRule="auto"/>
        <w:jc w:val="both"/>
        <w:rPr>
          <w:rFonts w:ascii="Times New Roman" w:hAnsi="Times New Roman"/>
          <w:sz w:val="28"/>
          <w:szCs w:val="28"/>
        </w:rPr>
      </w:pPr>
    </w:p>
    <w:p w:rsidR="00F04E5F" w:rsidRPr="00CD542C" w:rsidRDefault="001E13D9"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La inclusión de </w:t>
      </w:r>
      <w:r w:rsidR="00606F86" w:rsidRPr="00CD542C">
        <w:rPr>
          <w:rFonts w:ascii="Times New Roman" w:hAnsi="Times New Roman"/>
          <w:sz w:val="28"/>
          <w:szCs w:val="28"/>
        </w:rPr>
        <w:t>circunstancias</w:t>
      </w:r>
      <w:r w:rsidR="00F04E5F" w:rsidRPr="00CD542C">
        <w:rPr>
          <w:rFonts w:ascii="Times New Roman" w:hAnsi="Times New Roman"/>
          <w:sz w:val="28"/>
          <w:szCs w:val="28"/>
        </w:rPr>
        <w:t xml:space="preserve"> contextuales </w:t>
      </w:r>
      <w:r w:rsidR="00606F86" w:rsidRPr="00CD542C">
        <w:rPr>
          <w:rFonts w:ascii="Times New Roman" w:hAnsi="Times New Roman"/>
          <w:sz w:val="28"/>
          <w:szCs w:val="28"/>
        </w:rPr>
        <w:t xml:space="preserve">como elementos descriptivos </w:t>
      </w:r>
      <w:r w:rsidR="00F04E5F" w:rsidRPr="00CD542C">
        <w:rPr>
          <w:rFonts w:ascii="Times New Roman" w:hAnsi="Times New Roman"/>
          <w:sz w:val="28"/>
          <w:szCs w:val="28"/>
        </w:rPr>
        <w:t>del tipo</w:t>
      </w:r>
      <w:r w:rsidR="00606F86" w:rsidRPr="00CD542C">
        <w:rPr>
          <w:rFonts w:ascii="Times New Roman" w:hAnsi="Times New Roman"/>
          <w:sz w:val="28"/>
          <w:szCs w:val="28"/>
        </w:rPr>
        <w:t>,</w:t>
      </w:r>
      <w:r w:rsidR="00F04E5F" w:rsidRPr="00CD542C">
        <w:rPr>
          <w:rFonts w:ascii="Times New Roman" w:hAnsi="Times New Roman"/>
          <w:sz w:val="28"/>
          <w:szCs w:val="28"/>
        </w:rPr>
        <w:t xml:space="preserve"> </w:t>
      </w:r>
      <w:r w:rsidR="00A82B88" w:rsidRPr="00CD542C">
        <w:rPr>
          <w:rFonts w:ascii="Times New Roman" w:hAnsi="Times New Roman"/>
          <w:sz w:val="28"/>
          <w:szCs w:val="28"/>
        </w:rPr>
        <w:t>como los indicios,</w:t>
      </w:r>
      <w:r w:rsidRPr="00CD542C">
        <w:rPr>
          <w:rFonts w:ascii="Times New Roman" w:hAnsi="Times New Roman"/>
          <w:sz w:val="28"/>
          <w:szCs w:val="28"/>
        </w:rPr>
        <w:t xml:space="preserve"> los antecedentes </w:t>
      </w:r>
      <w:r w:rsidR="00A82B88" w:rsidRPr="00CD542C">
        <w:rPr>
          <w:rFonts w:ascii="Times New Roman" w:hAnsi="Times New Roman"/>
          <w:sz w:val="28"/>
          <w:szCs w:val="28"/>
        </w:rPr>
        <w:t>y las amenazas</w:t>
      </w:r>
      <w:r w:rsidR="00606F86" w:rsidRPr="00CD542C">
        <w:rPr>
          <w:rFonts w:ascii="Times New Roman" w:hAnsi="Times New Roman"/>
          <w:sz w:val="28"/>
          <w:szCs w:val="28"/>
        </w:rPr>
        <w:t>,</w:t>
      </w:r>
      <w:r w:rsidR="00A82B88" w:rsidRPr="00CD542C">
        <w:rPr>
          <w:rFonts w:ascii="Times New Roman" w:hAnsi="Times New Roman"/>
          <w:sz w:val="28"/>
          <w:szCs w:val="28"/>
        </w:rPr>
        <w:t xml:space="preserve"> </w:t>
      </w:r>
      <w:r w:rsidR="00F04E5F" w:rsidRPr="00CD542C">
        <w:rPr>
          <w:rFonts w:ascii="Times New Roman" w:hAnsi="Times New Roman"/>
          <w:sz w:val="28"/>
          <w:szCs w:val="28"/>
        </w:rPr>
        <w:t>busca</w:t>
      </w:r>
      <w:r w:rsidRPr="00CD542C">
        <w:rPr>
          <w:rFonts w:ascii="Times New Roman" w:hAnsi="Times New Roman"/>
          <w:sz w:val="28"/>
          <w:szCs w:val="28"/>
        </w:rPr>
        <w:t>n</w:t>
      </w:r>
      <w:r w:rsidR="00F04E5F" w:rsidRPr="00CD542C">
        <w:rPr>
          <w:rFonts w:ascii="Times New Roman" w:hAnsi="Times New Roman"/>
          <w:sz w:val="28"/>
          <w:szCs w:val="28"/>
        </w:rPr>
        <w:t xml:space="preserve"> superar la </w:t>
      </w:r>
      <w:r w:rsidR="00F04E5F" w:rsidRPr="00CD542C">
        <w:rPr>
          <w:rFonts w:ascii="Times New Roman" w:hAnsi="Times New Roman"/>
          <w:sz w:val="28"/>
          <w:szCs w:val="28"/>
        </w:rPr>
        <w:lastRenderedPageBreak/>
        <w:t>realidad de que la intención de dar muerte por motivos de género</w:t>
      </w:r>
      <w:r w:rsidR="00652909" w:rsidRPr="00CD542C">
        <w:rPr>
          <w:rFonts w:ascii="Times New Roman" w:hAnsi="Times New Roman"/>
          <w:sz w:val="28"/>
          <w:szCs w:val="28"/>
        </w:rPr>
        <w:t xml:space="preserve"> (corresponde a</w:t>
      </w:r>
      <w:r w:rsidR="00F04E5F" w:rsidRPr="00CD542C">
        <w:rPr>
          <w:rFonts w:ascii="Times New Roman" w:hAnsi="Times New Roman"/>
          <w:sz w:val="28"/>
          <w:szCs w:val="28"/>
        </w:rPr>
        <w:t xml:space="preserve"> patrones de desigualdad intrincados en la sociedad y tener el potencial de tomar tantas formas</w:t>
      </w:r>
      <w:r w:rsidR="00652909" w:rsidRPr="00CD542C">
        <w:rPr>
          <w:rFonts w:ascii="Times New Roman" w:hAnsi="Times New Roman"/>
          <w:sz w:val="28"/>
          <w:szCs w:val="28"/>
        </w:rPr>
        <w:t>)</w:t>
      </w:r>
      <w:r w:rsidR="00F04E5F" w:rsidRPr="00CD542C">
        <w:rPr>
          <w:rFonts w:ascii="Times New Roman" w:hAnsi="Times New Roman"/>
          <w:sz w:val="28"/>
          <w:szCs w:val="28"/>
        </w:rPr>
        <w:t xml:space="preserve"> resulta extremadamente difícil de probar bajo esquemas tradicionales que replican las desigualdades de poder.</w:t>
      </w:r>
      <w:r w:rsidRPr="00CD542C">
        <w:rPr>
          <w:rFonts w:ascii="Times New Roman" w:hAnsi="Times New Roman"/>
          <w:sz w:val="28"/>
          <w:szCs w:val="28"/>
        </w:rPr>
        <w:t xml:space="preserve"> En este sentido, no se trata de dar el carácter de prueba autónoma al contexto, ni la</w:t>
      </w:r>
      <w:r w:rsidR="00606F86" w:rsidRPr="00CD542C">
        <w:rPr>
          <w:rFonts w:ascii="Times New Roman" w:hAnsi="Times New Roman"/>
          <w:sz w:val="28"/>
          <w:szCs w:val="28"/>
        </w:rPr>
        <w:t>s</w:t>
      </w:r>
      <w:r w:rsidRPr="00CD542C">
        <w:rPr>
          <w:rFonts w:ascii="Times New Roman" w:hAnsi="Times New Roman"/>
          <w:sz w:val="28"/>
          <w:szCs w:val="28"/>
        </w:rPr>
        <w:t xml:space="preserve"> circunstancia</w:t>
      </w:r>
      <w:r w:rsidR="00606F86" w:rsidRPr="00CD542C">
        <w:rPr>
          <w:rFonts w:ascii="Times New Roman" w:hAnsi="Times New Roman"/>
          <w:sz w:val="28"/>
          <w:szCs w:val="28"/>
        </w:rPr>
        <w:t>s</w:t>
      </w:r>
      <w:r w:rsidRPr="00CD542C">
        <w:rPr>
          <w:rFonts w:ascii="Times New Roman" w:hAnsi="Times New Roman"/>
          <w:sz w:val="28"/>
          <w:szCs w:val="28"/>
        </w:rPr>
        <w:t xml:space="preserve"> hace</w:t>
      </w:r>
      <w:r w:rsidR="00606F86" w:rsidRPr="00CD542C">
        <w:rPr>
          <w:rFonts w:ascii="Times New Roman" w:hAnsi="Times New Roman"/>
          <w:sz w:val="28"/>
          <w:szCs w:val="28"/>
        </w:rPr>
        <w:t>n</w:t>
      </w:r>
      <w:r w:rsidRPr="00CD542C">
        <w:rPr>
          <w:rFonts w:ascii="Times New Roman" w:hAnsi="Times New Roman"/>
          <w:sz w:val="28"/>
          <w:szCs w:val="28"/>
        </w:rPr>
        <w:t xml:space="preserve"> referencia a un asunto de relevancia normativa</w:t>
      </w:r>
      <w:r w:rsidR="00606F86" w:rsidRPr="00CD542C">
        <w:rPr>
          <w:rFonts w:ascii="Times New Roman" w:hAnsi="Times New Roman"/>
          <w:sz w:val="28"/>
          <w:szCs w:val="28"/>
        </w:rPr>
        <w:t>,</w:t>
      </w:r>
      <w:r w:rsidRPr="00CD542C">
        <w:rPr>
          <w:rFonts w:ascii="Times New Roman" w:hAnsi="Times New Roman"/>
          <w:sz w:val="28"/>
          <w:szCs w:val="28"/>
        </w:rPr>
        <w:t xml:space="preserve"> sino</w:t>
      </w:r>
      <w:r w:rsidR="00606F86" w:rsidRPr="00CD542C">
        <w:rPr>
          <w:rFonts w:ascii="Times New Roman" w:hAnsi="Times New Roman"/>
          <w:sz w:val="28"/>
          <w:szCs w:val="28"/>
        </w:rPr>
        <w:t xml:space="preserve"> a una de las posibilidades que permiten verificar e</w:t>
      </w:r>
      <w:r w:rsidR="00F34BB8" w:rsidRPr="00CD542C">
        <w:rPr>
          <w:rFonts w:ascii="Times New Roman" w:hAnsi="Times New Roman"/>
          <w:sz w:val="28"/>
          <w:szCs w:val="28"/>
        </w:rPr>
        <w:t>l elemento</w:t>
      </w:r>
      <w:r w:rsidRPr="00CD542C">
        <w:rPr>
          <w:rFonts w:ascii="Times New Roman" w:hAnsi="Times New Roman"/>
          <w:sz w:val="28"/>
          <w:szCs w:val="28"/>
        </w:rPr>
        <w:t xml:space="preserve"> subjetivo del tipo. Así, se trata de q</w:t>
      </w:r>
      <w:r w:rsidR="00606F86" w:rsidRPr="00CD542C">
        <w:rPr>
          <w:rFonts w:ascii="Times New Roman" w:hAnsi="Times New Roman"/>
          <w:sz w:val="28"/>
          <w:szCs w:val="28"/>
        </w:rPr>
        <w:t>ue el juez valore los indicios,</w:t>
      </w:r>
      <w:r w:rsidRPr="00CD542C">
        <w:rPr>
          <w:rFonts w:ascii="Times New Roman" w:hAnsi="Times New Roman"/>
          <w:sz w:val="28"/>
          <w:szCs w:val="28"/>
        </w:rPr>
        <w:t xml:space="preserve"> los antecedentes</w:t>
      </w:r>
      <w:r w:rsidR="00606F86" w:rsidRPr="00CD542C">
        <w:rPr>
          <w:rFonts w:ascii="Times New Roman" w:hAnsi="Times New Roman"/>
          <w:sz w:val="28"/>
          <w:szCs w:val="28"/>
        </w:rPr>
        <w:t xml:space="preserve"> y amenazas</w:t>
      </w:r>
      <w:r w:rsidRPr="00CD542C">
        <w:rPr>
          <w:rFonts w:ascii="Times New Roman" w:hAnsi="Times New Roman"/>
          <w:sz w:val="28"/>
          <w:szCs w:val="28"/>
        </w:rPr>
        <w:t xml:space="preserve"> en conjunto con</w:t>
      </w:r>
      <w:r w:rsidR="00606F86" w:rsidRPr="00CD542C">
        <w:rPr>
          <w:rFonts w:ascii="Times New Roman" w:hAnsi="Times New Roman"/>
          <w:sz w:val="28"/>
          <w:szCs w:val="28"/>
        </w:rPr>
        <w:t xml:space="preserve"> todos</w:t>
      </w:r>
      <w:r w:rsidRPr="00CD542C">
        <w:rPr>
          <w:rFonts w:ascii="Times New Roman" w:hAnsi="Times New Roman"/>
          <w:sz w:val="28"/>
          <w:szCs w:val="28"/>
        </w:rPr>
        <w:t xml:space="preserve"> los elementos de prueba.</w:t>
      </w:r>
      <w:r w:rsidR="00F04E5F" w:rsidRPr="00CD542C">
        <w:rPr>
          <w:rFonts w:ascii="Times New Roman" w:hAnsi="Times New Roman"/>
          <w:sz w:val="28"/>
          <w:szCs w:val="28"/>
        </w:rPr>
        <w:t xml:space="preserve"> </w:t>
      </w:r>
      <w:r w:rsidR="00F04E5F" w:rsidRPr="00CD542C">
        <w:rPr>
          <w:rFonts w:ascii="Times New Roman" w:hAnsi="Times New Roman"/>
          <w:b/>
          <w:bCs/>
          <w:sz w:val="28"/>
          <w:szCs w:val="28"/>
        </w:rPr>
        <w:t>Por lo tanto, la garantía del acceso a la justicia para las mujeres supone un cambio estructural del derecho penal que integre una perspectiva de género tanto en los tipos penales que lo componen como en su investigación y sanción</w:t>
      </w:r>
      <w:r w:rsidR="00F04E5F" w:rsidRPr="00CD542C">
        <w:rPr>
          <w:rFonts w:ascii="Times New Roman" w:hAnsi="Times New Roman"/>
          <w:sz w:val="28"/>
          <w:szCs w:val="28"/>
        </w:rPr>
        <w:t xml:space="preserve">. Lo anterior, se concreta, entre otros, en una flexibilización del acercamiento a la prueba en el feminicidio que permita que el contexto conduzca a evidenciar el móvil. Esto no implica que la valoración del hecho punible como tal abandone los presupuestos del derecho penal, el debido proceso o el principio de legalidad, </w:t>
      </w:r>
      <w:r w:rsidR="00F04E5F" w:rsidRPr="00CD542C">
        <w:rPr>
          <w:rFonts w:ascii="Times New Roman" w:hAnsi="Times New Roman"/>
          <w:b/>
          <w:bCs/>
          <w:sz w:val="28"/>
          <w:szCs w:val="28"/>
        </w:rPr>
        <w:t xml:space="preserve">pero </w:t>
      </w:r>
      <w:r w:rsidR="004A1D37" w:rsidRPr="00CD542C">
        <w:rPr>
          <w:rFonts w:ascii="Times New Roman" w:hAnsi="Times New Roman"/>
          <w:b/>
          <w:bCs/>
          <w:sz w:val="28"/>
          <w:szCs w:val="28"/>
        </w:rPr>
        <w:t>sí</w:t>
      </w:r>
      <w:r w:rsidR="00F04E5F" w:rsidRPr="00CD542C">
        <w:rPr>
          <w:rFonts w:ascii="Times New Roman" w:hAnsi="Times New Roman"/>
          <w:b/>
          <w:bCs/>
          <w:sz w:val="28"/>
          <w:szCs w:val="28"/>
        </w:rPr>
        <w:t xml:space="preserve"> que su apreciación tenga la posibilidad de reconocer las diferencias de poder que generan una discriminación sistemática para las mujeres que desencadena una violencia exacerbada y cobra sus vidas en la impunidad.</w:t>
      </w:r>
    </w:p>
    <w:p w:rsidR="00F04E5F" w:rsidRPr="00CD542C" w:rsidRDefault="00F04E5F" w:rsidP="00CD542C">
      <w:pPr>
        <w:spacing w:after="0" w:line="240" w:lineRule="auto"/>
        <w:jc w:val="both"/>
        <w:rPr>
          <w:rFonts w:ascii="Times New Roman" w:hAnsi="Times New Roman"/>
          <w:sz w:val="28"/>
          <w:szCs w:val="28"/>
        </w:rPr>
      </w:pPr>
    </w:p>
    <w:p w:rsidR="00B1056F" w:rsidRPr="00CD542C" w:rsidRDefault="00B1056F"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Esta caracterización es coherente con la obligación de debida diligencia de los Estados de prevenir, investigar y sancionar la violencia contra las mujeres, frente a la evidencia contundente de los altos grados de impunidad que las formas tradicionales de política criminal no han logrado combatir. Entonces, la garantía del acceso a la justicia para las mujeres supone un cambio estructural en el acercamiento del derecho penal para que la tipificación de las conductas que violan sus derechos humanos, su investigación y sanción integren una perspectiva de género. </w:t>
      </w:r>
    </w:p>
    <w:p w:rsidR="005B0C7C" w:rsidRPr="00CD542C" w:rsidRDefault="005B0C7C" w:rsidP="00CD542C">
      <w:pPr>
        <w:spacing w:after="0" w:line="240" w:lineRule="auto"/>
        <w:jc w:val="both"/>
        <w:rPr>
          <w:rFonts w:ascii="Times New Roman" w:hAnsi="Times New Roman"/>
          <w:sz w:val="28"/>
          <w:szCs w:val="28"/>
        </w:rPr>
      </w:pPr>
    </w:p>
    <w:p w:rsidR="005F1AB7" w:rsidRPr="00CD542C" w:rsidRDefault="00270034" w:rsidP="00CD542C">
      <w:pPr>
        <w:spacing w:after="0" w:line="240" w:lineRule="auto"/>
        <w:jc w:val="both"/>
        <w:rPr>
          <w:rFonts w:ascii="Times New Roman" w:hAnsi="Times New Roman"/>
          <w:sz w:val="28"/>
          <w:szCs w:val="28"/>
        </w:rPr>
      </w:pPr>
      <w:r w:rsidRPr="00CD542C">
        <w:rPr>
          <w:rFonts w:ascii="Times New Roman" w:hAnsi="Times New Roman"/>
          <w:sz w:val="28"/>
          <w:szCs w:val="28"/>
        </w:rPr>
        <w:t>De otra parte, e</w:t>
      </w:r>
      <w:r w:rsidR="00550434" w:rsidRPr="00CD542C">
        <w:rPr>
          <w:rFonts w:ascii="Times New Roman" w:hAnsi="Times New Roman"/>
          <w:sz w:val="28"/>
          <w:szCs w:val="28"/>
        </w:rPr>
        <w:t>l literal</w:t>
      </w:r>
      <w:r w:rsidR="000A01CE" w:rsidRPr="00CD542C">
        <w:rPr>
          <w:rFonts w:ascii="Times New Roman" w:hAnsi="Times New Roman"/>
          <w:sz w:val="28"/>
          <w:szCs w:val="28"/>
        </w:rPr>
        <w:t xml:space="preserve"> acusado consta de cuatro partes, dos generales que establecen las categorías que determinan las circunstancias consignadas,</w:t>
      </w:r>
      <w:r w:rsidR="00333CF8" w:rsidRPr="00CD542C">
        <w:rPr>
          <w:rFonts w:ascii="Times New Roman" w:hAnsi="Times New Roman"/>
          <w:sz w:val="28"/>
          <w:szCs w:val="28"/>
        </w:rPr>
        <w:t xml:space="preserve"> es decir,</w:t>
      </w:r>
      <w:r w:rsidR="000A01CE" w:rsidRPr="00CD542C">
        <w:rPr>
          <w:rFonts w:ascii="Times New Roman" w:hAnsi="Times New Roman"/>
          <w:sz w:val="28"/>
          <w:szCs w:val="28"/>
        </w:rPr>
        <w:t xml:space="preserve"> de una parte que se trate de antecedentes, indicios o amenazas, </w:t>
      </w:r>
      <w:r w:rsidR="00773E0E" w:rsidRPr="00CD542C">
        <w:rPr>
          <w:rFonts w:ascii="Times New Roman" w:hAnsi="Times New Roman"/>
          <w:sz w:val="28"/>
          <w:szCs w:val="28"/>
        </w:rPr>
        <w:t>y de otra que</w:t>
      </w:r>
      <w:r w:rsidR="000A01CE" w:rsidRPr="00CD542C">
        <w:rPr>
          <w:rFonts w:ascii="Times New Roman" w:hAnsi="Times New Roman"/>
          <w:sz w:val="28"/>
          <w:szCs w:val="28"/>
        </w:rPr>
        <w:t xml:space="preserve"> deben haber si</w:t>
      </w:r>
      <w:r w:rsidR="00773E0E" w:rsidRPr="00CD542C">
        <w:rPr>
          <w:rFonts w:ascii="Times New Roman" w:hAnsi="Times New Roman"/>
          <w:sz w:val="28"/>
          <w:szCs w:val="28"/>
        </w:rPr>
        <w:t>do perpetrado</w:t>
      </w:r>
      <w:r w:rsidR="000A01CE" w:rsidRPr="00CD542C">
        <w:rPr>
          <w:rFonts w:ascii="Times New Roman" w:hAnsi="Times New Roman"/>
          <w:sz w:val="28"/>
          <w:szCs w:val="28"/>
        </w:rPr>
        <w:t>s por el sujeto activo en contra del sujeto pasivo</w:t>
      </w:r>
      <w:r w:rsidR="00773E0E" w:rsidRPr="00CD542C">
        <w:rPr>
          <w:rFonts w:ascii="Times New Roman" w:hAnsi="Times New Roman"/>
          <w:sz w:val="28"/>
          <w:szCs w:val="28"/>
        </w:rPr>
        <w:t xml:space="preserve"> sin necesidad de denuncia</w:t>
      </w:r>
      <w:r w:rsidR="000A01CE" w:rsidRPr="00CD542C">
        <w:rPr>
          <w:rFonts w:ascii="Times New Roman" w:hAnsi="Times New Roman"/>
          <w:sz w:val="28"/>
          <w:szCs w:val="28"/>
        </w:rPr>
        <w:t xml:space="preserve">. </w:t>
      </w:r>
      <w:r w:rsidR="000454D3" w:rsidRPr="00CD542C">
        <w:rPr>
          <w:rFonts w:ascii="Times New Roman" w:hAnsi="Times New Roman"/>
          <w:sz w:val="28"/>
          <w:szCs w:val="28"/>
        </w:rPr>
        <w:t>Las d</w:t>
      </w:r>
      <w:r w:rsidR="00550434" w:rsidRPr="00CD542C">
        <w:rPr>
          <w:rFonts w:ascii="Times New Roman" w:hAnsi="Times New Roman"/>
          <w:sz w:val="28"/>
          <w:szCs w:val="28"/>
        </w:rPr>
        <w:t>os partes específicas del literal</w:t>
      </w:r>
      <w:r w:rsidR="000454D3" w:rsidRPr="00CD542C">
        <w:rPr>
          <w:rFonts w:ascii="Times New Roman" w:hAnsi="Times New Roman"/>
          <w:sz w:val="28"/>
          <w:szCs w:val="28"/>
        </w:rPr>
        <w:t xml:space="preserve"> se refieren a las modalidades de violencia que componen la </w:t>
      </w:r>
      <w:r w:rsidR="00CF32CE" w:rsidRPr="00CD542C">
        <w:rPr>
          <w:rFonts w:ascii="Times New Roman" w:hAnsi="Times New Roman"/>
          <w:sz w:val="28"/>
          <w:szCs w:val="28"/>
        </w:rPr>
        <w:t>categorización</w:t>
      </w:r>
      <w:r w:rsidR="000454D3" w:rsidRPr="00CD542C">
        <w:rPr>
          <w:rFonts w:ascii="Times New Roman" w:hAnsi="Times New Roman"/>
          <w:sz w:val="28"/>
          <w:szCs w:val="28"/>
        </w:rPr>
        <w:t xml:space="preserve"> de los hechos:</w:t>
      </w:r>
      <w:r w:rsidR="00CF32CE" w:rsidRPr="00CD542C">
        <w:rPr>
          <w:rFonts w:ascii="Times New Roman" w:hAnsi="Times New Roman"/>
          <w:sz w:val="28"/>
          <w:szCs w:val="28"/>
        </w:rPr>
        <w:t xml:space="preserve"> i)</w:t>
      </w:r>
      <w:r w:rsidR="000454D3" w:rsidRPr="00CD542C">
        <w:rPr>
          <w:rFonts w:ascii="Times New Roman" w:hAnsi="Times New Roman"/>
          <w:sz w:val="28"/>
          <w:szCs w:val="28"/>
        </w:rPr>
        <w:t xml:space="preserve"> la violencia de cualquier tipo en </w:t>
      </w:r>
      <w:r w:rsidR="00CF32CE" w:rsidRPr="00CD542C">
        <w:rPr>
          <w:rFonts w:ascii="Times New Roman" w:hAnsi="Times New Roman"/>
          <w:sz w:val="28"/>
          <w:szCs w:val="28"/>
        </w:rPr>
        <w:t xml:space="preserve">las </w:t>
      </w:r>
      <w:r w:rsidR="00333CF8" w:rsidRPr="00CD542C">
        <w:rPr>
          <w:rFonts w:ascii="Times New Roman" w:hAnsi="Times New Roman"/>
          <w:sz w:val="28"/>
          <w:szCs w:val="28"/>
        </w:rPr>
        <w:t xml:space="preserve">diferentes </w:t>
      </w:r>
      <w:r w:rsidR="00CF32CE" w:rsidRPr="00CD542C">
        <w:rPr>
          <w:rFonts w:ascii="Times New Roman" w:hAnsi="Times New Roman"/>
          <w:sz w:val="28"/>
          <w:szCs w:val="28"/>
        </w:rPr>
        <w:t>esferas sociales;</w:t>
      </w:r>
      <w:r w:rsidR="000454D3" w:rsidRPr="00CD542C">
        <w:rPr>
          <w:rFonts w:ascii="Times New Roman" w:hAnsi="Times New Roman"/>
          <w:sz w:val="28"/>
          <w:szCs w:val="28"/>
        </w:rPr>
        <w:t xml:space="preserve"> y</w:t>
      </w:r>
      <w:r w:rsidR="00CF32CE" w:rsidRPr="00CD542C">
        <w:rPr>
          <w:rFonts w:ascii="Times New Roman" w:hAnsi="Times New Roman"/>
          <w:sz w:val="28"/>
          <w:szCs w:val="28"/>
        </w:rPr>
        <w:t xml:space="preserve"> ii)</w:t>
      </w:r>
      <w:r w:rsidR="000454D3" w:rsidRPr="00CD542C">
        <w:rPr>
          <w:rFonts w:ascii="Times New Roman" w:hAnsi="Times New Roman"/>
          <w:sz w:val="28"/>
          <w:szCs w:val="28"/>
        </w:rPr>
        <w:t xml:space="preserve"> la violencia de género.</w:t>
      </w:r>
    </w:p>
    <w:p w:rsidR="00E01504" w:rsidRPr="00CD542C" w:rsidRDefault="00E01504" w:rsidP="00CD542C">
      <w:pPr>
        <w:spacing w:after="0" w:line="240" w:lineRule="auto"/>
        <w:jc w:val="both"/>
        <w:rPr>
          <w:rFonts w:ascii="Times New Roman" w:hAnsi="Times New Roman"/>
          <w:sz w:val="28"/>
          <w:szCs w:val="28"/>
        </w:rPr>
      </w:pPr>
    </w:p>
    <w:p w:rsidR="005F1AB7" w:rsidRPr="00CD542C" w:rsidRDefault="00795D3C" w:rsidP="00CD542C">
      <w:pPr>
        <w:spacing w:after="0" w:line="240" w:lineRule="auto"/>
        <w:jc w:val="both"/>
        <w:rPr>
          <w:rFonts w:ascii="Times New Roman" w:hAnsi="Times New Roman"/>
          <w:sz w:val="28"/>
          <w:szCs w:val="28"/>
        </w:rPr>
      </w:pPr>
      <w:r w:rsidRPr="00CD542C">
        <w:rPr>
          <w:rFonts w:ascii="Times New Roman" w:hAnsi="Times New Roman"/>
          <w:sz w:val="28"/>
          <w:szCs w:val="28"/>
        </w:rPr>
        <w:t xml:space="preserve">La Corte considera que la </w:t>
      </w:r>
      <w:r w:rsidR="00F36095" w:rsidRPr="00CD542C">
        <w:rPr>
          <w:rFonts w:ascii="Times New Roman" w:hAnsi="Times New Roman"/>
          <w:sz w:val="28"/>
          <w:szCs w:val="28"/>
        </w:rPr>
        <w:t>modalidad</w:t>
      </w:r>
      <w:r w:rsidRPr="00CD542C">
        <w:rPr>
          <w:rFonts w:ascii="Times New Roman" w:hAnsi="Times New Roman"/>
          <w:sz w:val="28"/>
          <w:szCs w:val="28"/>
        </w:rPr>
        <w:t xml:space="preserve"> “</w:t>
      </w:r>
      <w:r w:rsidRPr="00CD542C">
        <w:rPr>
          <w:rFonts w:ascii="Times New Roman" w:hAnsi="Times New Roman"/>
          <w:i/>
          <w:iCs/>
          <w:sz w:val="28"/>
          <w:szCs w:val="28"/>
        </w:rPr>
        <w:t>cualquier tipo de violencia</w:t>
      </w:r>
      <w:r w:rsidR="00B1056F" w:rsidRPr="00CD542C">
        <w:rPr>
          <w:rFonts w:ascii="Times New Roman" w:hAnsi="Times New Roman"/>
          <w:sz w:val="28"/>
          <w:szCs w:val="28"/>
        </w:rPr>
        <w:t>” admite una lectura abierta</w:t>
      </w:r>
      <w:r w:rsidRPr="00CD542C">
        <w:rPr>
          <w:rFonts w:ascii="Times New Roman" w:hAnsi="Times New Roman"/>
          <w:sz w:val="28"/>
          <w:szCs w:val="28"/>
        </w:rPr>
        <w:t xml:space="preserve"> que hace que</w:t>
      </w:r>
      <w:r w:rsidR="00C6415F" w:rsidRPr="00CD542C">
        <w:rPr>
          <w:rFonts w:ascii="Times New Roman" w:hAnsi="Times New Roman"/>
          <w:sz w:val="28"/>
          <w:szCs w:val="28"/>
        </w:rPr>
        <w:t xml:space="preserve"> el comportamiento</w:t>
      </w:r>
      <w:r w:rsidRPr="00CD542C">
        <w:rPr>
          <w:rFonts w:ascii="Times New Roman" w:hAnsi="Times New Roman"/>
          <w:sz w:val="28"/>
          <w:szCs w:val="28"/>
        </w:rPr>
        <w:t xml:space="preserve"> carezca de precisión y claridad</w:t>
      </w:r>
      <w:r w:rsidR="00B1056F" w:rsidRPr="00CD542C">
        <w:rPr>
          <w:rFonts w:ascii="Times New Roman" w:hAnsi="Times New Roman"/>
          <w:sz w:val="28"/>
          <w:szCs w:val="28"/>
        </w:rPr>
        <w:t>,</w:t>
      </w:r>
      <w:r w:rsidRPr="00CD542C">
        <w:rPr>
          <w:rFonts w:ascii="Times New Roman" w:hAnsi="Times New Roman"/>
          <w:sz w:val="28"/>
          <w:szCs w:val="28"/>
        </w:rPr>
        <w:t xml:space="preserve"> </w:t>
      </w:r>
      <w:r w:rsidR="009767E3" w:rsidRPr="00CD542C">
        <w:rPr>
          <w:rFonts w:ascii="Times New Roman" w:hAnsi="Times New Roman"/>
          <w:sz w:val="28"/>
          <w:szCs w:val="28"/>
        </w:rPr>
        <w:t xml:space="preserve">lo cual incumple con los </w:t>
      </w:r>
      <w:r w:rsidRPr="00CD542C">
        <w:rPr>
          <w:rFonts w:ascii="Times New Roman" w:hAnsi="Times New Roman"/>
          <w:sz w:val="28"/>
          <w:szCs w:val="28"/>
        </w:rPr>
        <w:t>requisitos que exige el principio de legalidad</w:t>
      </w:r>
      <w:r w:rsidR="00F36095" w:rsidRPr="00CD542C">
        <w:rPr>
          <w:rFonts w:ascii="Times New Roman" w:hAnsi="Times New Roman"/>
          <w:sz w:val="28"/>
          <w:szCs w:val="28"/>
        </w:rPr>
        <w:t xml:space="preserve">, puesto que no permite </w:t>
      </w:r>
      <w:r w:rsidR="006C0B86" w:rsidRPr="00CD542C">
        <w:rPr>
          <w:rFonts w:ascii="Times New Roman" w:hAnsi="Times New Roman"/>
          <w:sz w:val="28"/>
          <w:szCs w:val="28"/>
        </w:rPr>
        <w:t xml:space="preserve">saber </w:t>
      </w:r>
      <w:r w:rsidR="00F36095" w:rsidRPr="00CD542C">
        <w:rPr>
          <w:rFonts w:ascii="Times New Roman" w:hAnsi="Times New Roman"/>
          <w:sz w:val="28"/>
          <w:szCs w:val="28"/>
        </w:rPr>
        <w:t>con certeza cuál es la conducta reprochada que tiene el potencial de identificar una intención estructural en el delito de feminicido</w:t>
      </w:r>
      <w:r w:rsidR="009767E3" w:rsidRPr="00CD542C">
        <w:rPr>
          <w:rFonts w:ascii="Times New Roman" w:hAnsi="Times New Roman"/>
          <w:sz w:val="28"/>
          <w:szCs w:val="28"/>
        </w:rPr>
        <w:t>, el móvil</w:t>
      </w:r>
      <w:r w:rsidRPr="00CD542C">
        <w:rPr>
          <w:rFonts w:ascii="Times New Roman" w:hAnsi="Times New Roman"/>
          <w:sz w:val="28"/>
          <w:szCs w:val="28"/>
        </w:rPr>
        <w:t xml:space="preserve">. Lo anterior, puesto que la falta de categorización de la violencia en contra de la mujer </w:t>
      </w:r>
      <w:r w:rsidR="00333CF8" w:rsidRPr="00CD542C">
        <w:rPr>
          <w:rFonts w:ascii="Times New Roman" w:hAnsi="Times New Roman"/>
          <w:sz w:val="28"/>
          <w:szCs w:val="28"/>
        </w:rPr>
        <w:t>supone una amplitud que</w:t>
      </w:r>
      <w:r w:rsidR="00C6415F" w:rsidRPr="00CD542C">
        <w:rPr>
          <w:rFonts w:ascii="Times New Roman" w:hAnsi="Times New Roman"/>
          <w:sz w:val="28"/>
          <w:szCs w:val="28"/>
        </w:rPr>
        <w:t xml:space="preserve"> podría desbordar</w:t>
      </w:r>
      <w:r w:rsidR="00B1056F" w:rsidRPr="00CD542C">
        <w:rPr>
          <w:rFonts w:ascii="Times New Roman" w:hAnsi="Times New Roman"/>
          <w:sz w:val="28"/>
          <w:szCs w:val="28"/>
        </w:rPr>
        <w:t xml:space="preserve"> las situaciones que efectivamente</w:t>
      </w:r>
      <w:r w:rsidR="00333CF8" w:rsidRPr="00CD542C">
        <w:rPr>
          <w:rFonts w:ascii="Times New Roman" w:hAnsi="Times New Roman"/>
          <w:sz w:val="28"/>
          <w:szCs w:val="28"/>
        </w:rPr>
        <w:t xml:space="preserve"> </w:t>
      </w:r>
      <w:r w:rsidR="00B1056F" w:rsidRPr="00CD542C">
        <w:rPr>
          <w:rFonts w:ascii="Times New Roman" w:hAnsi="Times New Roman"/>
          <w:sz w:val="28"/>
          <w:szCs w:val="28"/>
        </w:rPr>
        <w:t>establecen que se trata</w:t>
      </w:r>
      <w:r w:rsidR="00333CF8" w:rsidRPr="00CD542C">
        <w:rPr>
          <w:rFonts w:ascii="Times New Roman" w:hAnsi="Times New Roman"/>
          <w:sz w:val="28"/>
          <w:szCs w:val="28"/>
        </w:rPr>
        <w:t xml:space="preserve"> de una situación </w:t>
      </w:r>
      <w:r w:rsidR="006C0B86" w:rsidRPr="00CD542C">
        <w:rPr>
          <w:rFonts w:ascii="Times New Roman" w:hAnsi="Times New Roman"/>
          <w:sz w:val="28"/>
          <w:szCs w:val="28"/>
        </w:rPr>
        <w:t>que</w:t>
      </w:r>
      <w:r w:rsidR="00F36095" w:rsidRPr="00CD542C">
        <w:rPr>
          <w:rFonts w:ascii="Times New Roman" w:hAnsi="Times New Roman"/>
          <w:sz w:val="28"/>
          <w:szCs w:val="28"/>
        </w:rPr>
        <w:t xml:space="preserve"> </w:t>
      </w:r>
      <w:r w:rsidR="00B1056F" w:rsidRPr="00CD542C">
        <w:rPr>
          <w:rFonts w:ascii="Times New Roman" w:hAnsi="Times New Roman"/>
          <w:sz w:val="28"/>
          <w:szCs w:val="28"/>
        </w:rPr>
        <w:t>captura</w:t>
      </w:r>
      <w:r w:rsidR="00333CF8" w:rsidRPr="00CD542C">
        <w:rPr>
          <w:rFonts w:ascii="Times New Roman" w:hAnsi="Times New Roman"/>
          <w:sz w:val="28"/>
          <w:szCs w:val="28"/>
        </w:rPr>
        <w:t xml:space="preserve"> </w:t>
      </w:r>
      <w:r w:rsidRPr="00CD542C">
        <w:rPr>
          <w:rFonts w:ascii="Times New Roman" w:hAnsi="Times New Roman"/>
          <w:sz w:val="28"/>
          <w:szCs w:val="28"/>
        </w:rPr>
        <w:t>patrones de discriminaci</w:t>
      </w:r>
      <w:r w:rsidR="00B1056F" w:rsidRPr="00CD542C">
        <w:rPr>
          <w:rFonts w:ascii="Times New Roman" w:hAnsi="Times New Roman"/>
          <w:sz w:val="28"/>
          <w:szCs w:val="28"/>
        </w:rPr>
        <w:t xml:space="preserve">ón que reproducen </w:t>
      </w:r>
      <w:r w:rsidR="00B1056F" w:rsidRPr="00CD542C">
        <w:rPr>
          <w:rFonts w:ascii="Times New Roman" w:hAnsi="Times New Roman"/>
          <w:sz w:val="28"/>
          <w:szCs w:val="28"/>
        </w:rPr>
        <w:lastRenderedPageBreak/>
        <w:t xml:space="preserve">estereotipos de género y desencadenan una violencia exacerbada que guía el homicidio.  </w:t>
      </w:r>
    </w:p>
    <w:p w:rsidR="005F1AB7" w:rsidRPr="00CD542C" w:rsidRDefault="005F1AB7" w:rsidP="00CD542C">
      <w:pPr>
        <w:spacing w:after="0" w:line="240" w:lineRule="auto"/>
        <w:jc w:val="both"/>
        <w:rPr>
          <w:rFonts w:ascii="Times New Roman" w:hAnsi="Times New Roman"/>
          <w:sz w:val="28"/>
          <w:szCs w:val="28"/>
        </w:rPr>
      </w:pPr>
    </w:p>
    <w:p w:rsidR="005F1AB7" w:rsidRPr="00CD542C" w:rsidRDefault="009C7791" w:rsidP="00CD542C">
      <w:pPr>
        <w:spacing w:after="0" w:line="240" w:lineRule="auto"/>
        <w:jc w:val="both"/>
        <w:rPr>
          <w:rFonts w:ascii="Times New Roman" w:hAnsi="Times New Roman"/>
          <w:sz w:val="28"/>
          <w:szCs w:val="28"/>
        </w:rPr>
      </w:pPr>
      <w:r w:rsidRPr="00CD542C">
        <w:rPr>
          <w:rFonts w:ascii="Times New Roman" w:hAnsi="Times New Roman"/>
          <w:sz w:val="28"/>
          <w:szCs w:val="28"/>
        </w:rPr>
        <w:t>No obstante lo anterior, la</w:t>
      </w:r>
      <w:r w:rsidR="003C0EFB" w:rsidRPr="00CD542C">
        <w:rPr>
          <w:rFonts w:ascii="Times New Roman" w:hAnsi="Times New Roman"/>
          <w:sz w:val="28"/>
          <w:szCs w:val="28"/>
        </w:rPr>
        <w:t xml:space="preserve"> misma norma</w:t>
      </w:r>
      <w:r w:rsidRPr="00CD542C">
        <w:rPr>
          <w:rFonts w:ascii="Times New Roman" w:hAnsi="Times New Roman"/>
          <w:sz w:val="28"/>
          <w:szCs w:val="28"/>
        </w:rPr>
        <w:t xml:space="preserve"> y las referencias al derecho internacional de derechos humanos, específicamente al artículo 1</w:t>
      </w:r>
      <w:r w:rsidR="00550434" w:rsidRPr="00CD542C">
        <w:rPr>
          <w:rFonts w:ascii="Times New Roman" w:hAnsi="Times New Roman"/>
          <w:sz w:val="28"/>
          <w:szCs w:val="28"/>
        </w:rPr>
        <w:t>°</w:t>
      </w:r>
      <w:r w:rsidRPr="00CD542C">
        <w:rPr>
          <w:rFonts w:ascii="Times New Roman" w:hAnsi="Times New Roman"/>
          <w:sz w:val="28"/>
          <w:szCs w:val="28"/>
        </w:rPr>
        <w:t xml:space="preserve"> de la Convención de Belém do Par</w:t>
      </w:r>
      <w:r w:rsidR="00873CBF" w:rsidRPr="00CD542C">
        <w:rPr>
          <w:rFonts w:ascii="Times New Roman" w:hAnsi="Times New Roman"/>
          <w:sz w:val="28"/>
          <w:szCs w:val="28"/>
        </w:rPr>
        <w:t>á, permiten superar esta posible ambigüedad</w:t>
      </w:r>
      <w:r w:rsidR="00E44818" w:rsidRPr="00CD542C">
        <w:rPr>
          <w:rFonts w:ascii="Times New Roman" w:hAnsi="Times New Roman"/>
          <w:sz w:val="28"/>
          <w:szCs w:val="28"/>
        </w:rPr>
        <w:t xml:space="preserve">, para precisar que </w:t>
      </w:r>
      <w:r w:rsidR="00E44818" w:rsidRPr="00CD542C">
        <w:rPr>
          <w:rFonts w:ascii="Times New Roman" w:hAnsi="Times New Roman"/>
          <w:b/>
          <w:bCs/>
          <w:sz w:val="28"/>
          <w:szCs w:val="28"/>
        </w:rPr>
        <w:t xml:space="preserve">necesariamente la violencia </w:t>
      </w:r>
      <w:r w:rsidR="00550434" w:rsidRPr="00CD542C">
        <w:rPr>
          <w:rFonts w:ascii="Times New Roman" w:hAnsi="Times New Roman"/>
          <w:b/>
          <w:bCs/>
          <w:sz w:val="28"/>
          <w:szCs w:val="28"/>
        </w:rPr>
        <w:t>a la que se refiere el literal acusado</w:t>
      </w:r>
      <w:r w:rsidR="00E44818" w:rsidRPr="00CD542C">
        <w:rPr>
          <w:rFonts w:ascii="Times New Roman" w:hAnsi="Times New Roman"/>
          <w:b/>
          <w:bCs/>
          <w:sz w:val="28"/>
          <w:szCs w:val="28"/>
        </w:rPr>
        <w:t xml:space="preserve"> es violencia de género</w:t>
      </w:r>
      <w:r w:rsidR="000F4FD3" w:rsidRPr="00CD542C">
        <w:rPr>
          <w:rFonts w:ascii="Times New Roman" w:hAnsi="Times New Roman"/>
          <w:sz w:val="28"/>
          <w:szCs w:val="28"/>
        </w:rPr>
        <w:t>, lo cual es indispensable para establecer un patrón de discriminación que identifique una intención de matar a una mujer por el hecho de serlo o por motivos de género, como elemento diferenciador del homicidio</w:t>
      </w:r>
      <w:r w:rsidRPr="00CD542C">
        <w:rPr>
          <w:rFonts w:ascii="Times New Roman" w:hAnsi="Times New Roman"/>
          <w:sz w:val="28"/>
          <w:szCs w:val="28"/>
        </w:rPr>
        <w:t>.</w:t>
      </w:r>
      <w:r w:rsidR="00C4576F" w:rsidRPr="00CD542C">
        <w:rPr>
          <w:rFonts w:ascii="Times New Roman" w:hAnsi="Times New Roman"/>
          <w:sz w:val="28"/>
          <w:szCs w:val="28"/>
        </w:rPr>
        <w:t xml:space="preserve"> Esta precisión mediante un referente calificado da a la norma claridad y hace que sea posible prever la conducta sancionada.</w:t>
      </w:r>
      <w:r w:rsidRPr="00CD542C">
        <w:rPr>
          <w:rFonts w:ascii="Times New Roman" w:hAnsi="Times New Roman"/>
          <w:sz w:val="28"/>
          <w:szCs w:val="28"/>
        </w:rPr>
        <w:t xml:space="preserve"> </w:t>
      </w:r>
    </w:p>
    <w:p w:rsidR="00CF58A0" w:rsidRPr="00CD542C" w:rsidRDefault="00CF58A0" w:rsidP="00CD542C">
      <w:pPr>
        <w:spacing w:after="0" w:line="240" w:lineRule="auto"/>
        <w:rPr>
          <w:rFonts w:ascii="Times New Roman" w:hAnsi="Times New Roman"/>
          <w:sz w:val="28"/>
          <w:szCs w:val="28"/>
        </w:rPr>
      </w:pPr>
    </w:p>
    <w:p w:rsidR="00937AFA" w:rsidRPr="00CD542C" w:rsidRDefault="00E9591A" w:rsidP="00CD542C">
      <w:pPr>
        <w:spacing w:after="0" w:line="240" w:lineRule="auto"/>
        <w:jc w:val="both"/>
        <w:rPr>
          <w:rFonts w:ascii="Times New Roman" w:hAnsi="Times New Roman"/>
          <w:sz w:val="28"/>
          <w:szCs w:val="28"/>
        </w:rPr>
      </w:pPr>
      <w:r w:rsidRPr="00CD542C">
        <w:rPr>
          <w:rFonts w:ascii="Times New Roman" w:hAnsi="Times New Roman"/>
          <w:sz w:val="28"/>
          <w:szCs w:val="28"/>
          <w:lang w:eastAsia="es-ES"/>
        </w:rPr>
        <w:t>Así las cosas, conforme a la facultad reconocida a la Corte Constitucional de modular sus fallos, en este caso se acudirá a la metodología de la sentencia de constitucionalidad condicionada, con el objetivo de garantizar el respeto al principio de legalidad. Bajo este criterio en la parte resolutiva de esta sentencia se declarará la exequibilidad condicionada del</w:t>
      </w:r>
      <w:r w:rsidRPr="00CD542C">
        <w:rPr>
          <w:rFonts w:ascii="Times New Roman" w:hAnsi="Times New Roman"/>
          <w:sz w:val="28"/>
          <w:szCs w:val="28"/>
          <w:lang w:val="es-ES_tradnl" w:eastAsia="es-ES"/>
        </w:rPr>
        <w:t xml:space="preserve"> literal e del </w:t>
      </w:r>
      <w:r w:rsidRPr="00CD542C">
        <w:rPr>
          <w:rFonts w:ascii="Times New Roman" w:hAnsi="Times New Roman"/>
          <w:iCs/>
          <w:sz w:val="28"/>
          <w:szCs w:val="28"/>
          <w:lang w:val="es-CO"/>
        </w:rPr>
        <w:t xml:space="preserve">artículo 2º (parcial) de la Ley 1761 de 2015 </w:t>
      </w:r>
      <w:r w:rsidRPr="00CD542C">
        <w:rPr>
          <w:rFonts w:ascii="Times New Roman" w:hAnsi="Times New Roman"/>
          <w:i/>
          <w:sz w:val="28"/>
          <w:szCs w:val="28"/>
          <w:lang w:val="es-CO"/>
        </w:rPr>
        <w:t>“P</w:t>
      </w:r>
      <w:r w:rsidRPr="00CD542C">
        <w:rPr>
          <w:rFonts w:ascii="Times New Roman" w:hAnsi="Times New Roman"/>
          <w:i/>
          <w:sz w:val="28"/>
          <w:szCs w:val="28"/>
        </w:rPr>
        <w:t>or la cual se crea el tipo penal de feminicidio como delito autónomo y se dictan otras disposiciones</w:t>
      </w:r>
      <w:r w:rsidRPr="00CD542C">
        <w:rPr>
          <w:rFonts w:ascii="Times New Roman" w:hAnsi="Times New Roman"/>
          <w:i/>
          <w:sz w:val="28"/>
          <w:szCs w:val="28"/>
          <w:lang w:val="es-CO"/>
        </w:rPr>
        <w:t xml:space="preserve">” (Rosa Elvira Cely) </w:t>
      </w:r>
      <w:r w:rsidRPr="00CD542C">
        <w:rPr>
          <w:rFonts w:ascii="Times New Roman" w:hAnsi="Times New Roman"/>
          <w:sz w:val="28"/>
          <w:szCs w:val="28"/>
        </w:rPr>
        <w:t>en el entendido de que la violencia a la que se refiere es violencia de género como una circunstancia contextual para determinar el elemento subjetivo del tipo: la intención de matar por el hecho de ser mujer o por motivos de género.</w:t>
      </w:r>
    </w:p>
    <w:p w:rsidR="00773C3E" w:rsidRPr="00CD542C" w:rsidRDefault="00773C3E" w:rsidP="00CD542C">
      <w:pPr>
        <w:spacing w:after="0" w:line="240" w:lineRule="auto"/>
        <w:rPr>
          <w:rFonts w:ascii="Times New Roman" w:hAnsi="Times New Roman"/>
          <w:sz w:val="28"/>
          <w:szCs w:val="28"/>
        </w:rPr>
      </w:pPr>
    </w:p>
    <w:p w:rsidR="00595191" w:rsidRPr="00CD542C" w:rsidRDefault="00595191" w:rsidP="00CD542C">
      <w:pPr>
        <w:spacing w:after="0" w:line="240" w:lineRule="auto"/>
        <w:jc w:val="center"/>
        <w:rPr>
          <w:rFonts w:ascii="Times New Roman" w:hAnsi="Times New Roman"/>
          <w:b/>
          <w:sz w:val="28"/>
          <w:szCs w:val="28"/>
          <w:lang w:eastAsia="es-ES"/>
        </w:rPr>
      </w:pPr>
      <w:r w:rsidRPr="00CD542C">
        <w:rPr>
          <w:rFonts w:ascii="Times New Roman" w:hAnsi="Times New Roman"/>
          <w:b/>
          <w:sz w:val="28"/>
          <w:szCs w:val="28"/>
          <w:lang w:eastAsia="es-ES"/>
        </w:rPr>
        <w:t>DECISIÓN</w:t>
      </w:r>
    </w:p>
    <w:p w:rsidR="00595191" w:rsidRPr="00CD542C" w:rsidRDefault="00595191" w:rsidP="00CD542C">
      <w:pPr>
        <w:spacing w:after="0" w:line="240" w:lineRule="auto"/>
        <w:jc w:val="both"/>
        <w:rPr>
          <w:rFonts w:ascii="Times New Roman" w:hAnsi="Times New Roman"/>
          <w:sz w:val="28"/>
          <w:szCs w:val="28"/>
          <w:lang w:eastAsia="es-ES"/>
        </w:rPr>
      </w:pPr>
    </w:p>
    <w:p w:rsidR="00595191" w:rsidRPr="00CD542C" w:rsidRDefault="00595191"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 xml:space="preserve">En mérito de lo expuesto, la Sala Plena de la Corte Constitucional de la República de Colombia, administrando justicia en nombre del pueblo, y por mandato de la Constitución, </w:t>
      </w:r>
    </w:p>
    <w:p w:rsidR="00595191" w:rsidRPr="00CD542C" w:rsidRDefault="00595191" w:rsidP="00CD542C">
      <w:pPr>
        <w:spacing w:after="0" w:line="240" w:lineRule="auto"/>
        <w:jc w:val="both"/>
        <w:rPr>
          <w:rFonts w:ascii="Times New Roman" w:hAnsi="Times New Roman"/>
          <w:sz w:val="28"/>
          <w:szCs w:val="28"/>
          <w:lang w:eastAsia="es-ES"/>
        </w:rPr>
      </w:pPr>
    </w:p>
    <w:p w:rsidR="00595191" w:rsidRPr="00CD542C" w:rsidRDefault="00595191" w:rsidP="00CD542C">
      <w:pPr>
        <w:spacing w:after="0" w:line="240" w:lineRule="auto"/>
        <w:jc w:val="center"/>
        <w:rPr>
          <w:rFonts w:ascii="Times New Roman" w:hAnsi="Times New Roman"/>
          <w:sz w:val="28"/>
          <w:szCs w:val="28"/>
          <w:lang w:eastAsia="es-ES"/>
        </w:rPr>
      </w:pPr>
      <w:r w:rsidRPr="00CD542C">
        <w:rPr>
          <w:rFonts w:ascii="Times New Roman" w:hAnsi="Times New Roman"/>
          <w:b/>
          <w:sz w:val="28"/>
          <w:szCs w:val="28"/>
          <w:lang w:eastAsia="es-ES"/>
        </w:rPr>
        <w:t>RESUELVE:</w:t>
      </w:r>
    </w:p>
    <w:p w:rsidR="00595191" w:rsidRPr="00CD542C" w:rsidRDefault="00595191" w:rsidP="00CD542C">
      <w:pPr>
        <w:spacing w:after="0" w:line="240" w:lineRule="auto"/>
        <w:jc w:val="both"/>
        <w:rPr>
          <w:rFonts w:ascii="Times New Roman" w:hAnsi="Times New Roman"/>
          <w:sz w:val="28"/>
          <w:szCs w:val="28"/>
          <w:lang w:eastAsia="es-ES"/>
        </w:rPr>
      </w:pPr>
    </w:p>
    <w:p w:rsidR="00F22BC1" w:rsidRPr="00CD542C" w:rsidRDefault="00595191" w:rsidP="00CD542C">
      <w:pPr>
        <w:spacing w:after="0" w:line="240" w:lineRule="auto"/>
        <w:jc w:val="both"/>
        <w:rPr>
          <w:rFonts w:ascii="Times New Roman" w:hAnsi="Times New Roman"/>
          <w:sz w:val="28"/>
          <w:szCs w:val="28"/>
        </w:rPr>
      </w:pPr>
      <w:r w:rsidRPr="00CD542C">
        <w:rPr>
          <w:rFonts w:ascii="Times New Roman" w:hAnsi="Times New Roman"/>
          <w:sz w:val="28"/>
          <w:szCs w:val="28"/>
          <w:lang w:eastAsia="es-ES"/>
        </w:rPr>
        <w:t xml:space="preserve">Declarar </w:t>
      </w:r>
      <w:r w:rsidR="00F22BC1" w:rsidRPr="00CD542C">
        <w:rPr>
          <w:rFonts w:ascii="Times New Roman" w:hAnsi="Times New Roman"/>
          <w:b/>
          <w:sz w:val="28"/>
          <w:szCs w:val="28"/>
          <w:lang w:eastAsia="es-ES"/>
        </w:rPr>
        <w:t>EXEQUIBLE</w:t>
      </w:r>
      <w:r w:rsidRPr="00CD542C">
        <w:rPr>
          <w:rFonts w:ascii="Times New Roman" w:hAnsi="Times New Roman"/>
          <w:b/>
          <w:sz w:val="28"/>
          <w:szCs w:val="28"/>
          <w:lang w:eastAsia="es-ES"/>
        </w:rPr>
        <w:t xml:space="preserve"> </w:t>
      </w:r>
      <w:r w:rsidRPr="00CD542C">
        <w:rPr>
          <w:rFonts w:ascii="Times New Roman" w:hAnsi="Times New Roman"/>
          <w:sz w:val="28"/>
          <w:szCs w:val="28"/>
          <w:lang w:val="es-ES_tradnl" w:eastAsia="es-ES"/>
        </w:rPr>
        <w:t xml:space="preserve">el literal e del </w:t>
      </w:r>
      <w:r w:rsidRPr="00CD542C">
        <w:rPr>
          <w:rFonts w:ascii="Times New Roman" w:hAnsi="Times New Roman"/>
          <w:iCs/>
          <w:sz w:val="28"/>
          <w:szCs w:val="28"/>
          <w:lang w:val="es-CO"/>
        </w:rPr>
        <w:t xml:space="preserve">artículo 2º (parcial) de la Ley 1761 de 2015 </w:t>
      </w:r>
      <w:r w:rsidRPr="00CD542C">
        <w:rPr>
          <w:rFonts w:ascii="Times New Roman" w:hAnsi="Times New Roman"/>
          <w:i/>
          <w:sz w:val="28"/>
          <w:szCs w:val="28"/>
          <w:lang w:val="es-CO"/>
        </w:rPr>
        <w:t>“P</w:t>
      </w:r>
      <w:r w:rsidRPr="00CD542C">
        <w:rPr>
          <w:rFonts w:ascii="Times New Roman" w:hAnsi="Times New Roman"/>
          <w:i/>
          <w:sz w:val="28"/>
          <w:szCs w:val="28"/>
        </w:rPr>
        <w:t>or la cual se crea el tipo penal de feminicidio como delito autónomo y se dictan otras disposiciones</w:t>
      </w:r>
      <w:r w:rsidR="00F22BC1" w:rsidRPr="00CD542C">
        <w:rPr>
          <w:rFonts w:ascii="Times New Roman" w:hAnsi="Times New Roman"/>
          <w:i/>
          <w:sz w:val="28"/>
          <w:szCs w:val="28"/>
          <w:lang w:val="es-CO"/>
        </w:rPr>
        <w:t>” (Rosa Elvira Cely)</w:t>
      </w:r>
      <w:r w:rsidR="00401C20" w:rsidRPr="00CD542C">
        <w:rPr>
          <w:rFonts w:ascii="Times New Roman" w:hAnsi="Times New Roman"/>
          <w:i/>
          <w:sz w:val="28"/>
          <w:szCs w:val="28"/>
          <w:lang w:val="es-CO"/>
        </w:rPr>
        <w:t>,</w:t>
      </w:r>
      <w:r w:rsidR="00F22BC1" w:rsidRPr="00CD542C">
        <w:rPr>
          <w:rFonts w:ascii="Times New Roman" w:hAnsi="Times New Roman"/>
          <w:i/>
          <w:sz w:val="28"/>
          <w:szCs w:val="28"/>
          <w:lang w:val="es-CO"/>
        </w:rPr>
        <w:t xml:space="preserve"> </w:t>
      </w:r>
      <w:r w:rsidR="002C0B01" w:rsidRPr="00CD542C">
        <w:rPr>
          <w:rFonts w:ascii="Times New Roman" w:hAnsi="Times New Roman"/>
          <w:iCs/>
          <w:sz w:val="28"/>
          <w:szCs w:val="28"/>
          <w:lang w:val="es-CO"/>
        </w:rPr>
        <w:t xml:space="preserve">por los cargos analizados, </w:t>
      </w:r>
      <w:r w:rsidR="00F22BC1" w:rsidRPr="00CD542C">
        <w:rPr>
          <w:rFonts w:ascii="Times New Roman" w:hAnsi="Times New Roman"/>
          <w:sz w:val="28"/>
          <w:szCs w:val="28"/>
        </w:rPr>
        <w:t>en el entendido de que la violencia a la que se refiere</w:t>
      </w:r>
      <w:r w:rsidR="00A76FE8" w:rsidRPr="00CD542C">
        <w:rPr>
          <w:rFonts w:ascii="Times New Roman" w:hAnsi="Times New Roman"/>
          <w:sz w:val="28"/>
          <w:szCs w:val="28"/>
        </w:rPr>
        <w:t xml:space="preserve"> el literal</w:t>
      </w:r>
      <w:r w:rsidR="00F22BC1" w:rsidRPr="00CD542C">
        <w:rPr>
          <w:rFonts w:ascii="Times New Roman" w:hAnsi="Times New Roman"/>
          <w:sz w:val="28"/>
          <w:szCs w:val="28"/>
        </w:rPr>
        <w:t xml:space="preserve"> es violencia de género como una circunstancia contextual para determinar el elemento subjetivo del tipo: la intención de matar por el hecho de ser mujer o por motivos de</w:t>
      </w:r>
      <w:r w:rsidR="007D67FD" w:rsidRPr="00CD542C">
        <w:rPr>
          <w:rFonts w:ascii="Times New Roman" w:hAnsi="Times New Roman"/>
          <w:sz w:val="28"/>
          <w:szCs w:val="28"/>
        </w:rPr>
        <w:t xml:space="preserve"> identidad de</w:t>
      </w:r>
      <w:r w:rsidR="00F22BC1" w:rsidRPr="00CD542C">
        <w:rPr>
          <w:rFonts w:ascii="Times New Roman" w:hAnsi="Times New Roman"/>
          <w:sz w:val="28"/>
          <w:szCs w:val="28"/>
        </w:rPr>
        <w:t xml:space="preserve"> género.</w:t>
      </w:r>
    </w:p>
    <w:p w:rsidR="00595191" w:rsidRPr="00CD542C" w:rsidRDefault="00595191" w:rsidP="00CD542C">
      <w:pPr>
        <w:spacing w:after="0" w:line="240" w:lineRule="auto"/>
        <w:jc w:val="both"/>
        <w:rPr>
          <w:rFonts w:ascii="Times New Roman" w:hAnsi="Times New Roman"/>
          <w:sz w:val="28"/>
          <w:szCs w:val="28"/>
          <w:lang w:eastAsia="es-ES"/>
        </w:rPr>
      </w:pPr>
    </w:p>
    <w:p w:rsidR="00595191" w:rsidRPr="00CD542C" w:rsidRDefault="00595191" w:rsidP="00CD542C">
      <w:pPr>
        <w:spacing w:after="0" w:line="240" w:lineRule="auto"/>
        <w:jc w:val="both"/>
        <w:rPr>
          <w:rFonts w:ascii="Times New Roman" w:hAnsi="Times New Roman"/>
          <w:sz w:val="28"/>
          <w:szCs w:val="28"/>
          <w:lang w:eastAsia="es-ES"/>
        </w:rPr>
      </w:pPr>
      <w:r w:rsidRPr="00CD542C">
        <w:rPr>
          <w:rFonts w:ascii="Times New Roman" w:hAnsi="Times New Roman"/>
          <w:sz w:val="28"/>
          <w:szCs w:val="28"/>
          <w:lang w:eastAsia="es-ES"/>
        </w:rPr>
        <w:t>Cópiese, notifíquese, comuníquese e insértese en la Gaceta de la Corte Constitucional, cúmplase y archívese el expediente.</w:t>
      </w:r>
    </w:p>
    <w:p w:rsidR="00595191" w:rsidRPr="00CD542C" w:rsidRDefault="00595191" w:rsidP="007F72D6">
      <w:pPr>
        <w:spacing w:after="0" w:line="240" w:lineRule="auto"/>
        <w:jc w:val="center"/>
        <w:rPr>
          <w:rFonts w:ascii="Times New Roman" w:hAnsi="Times New Roman"/>
          <w:sz w:val="28"/>
          <w:szCs w:val="28"/>
          <w:lang w:eastAsia="es-ES"/>
        </w:rPr>
      </w:pPr>
    </w:p>
    <w:p w:rsidR="00B50E55" w:rsidRPr="00CD542C" w:rsidRDefault="00B50E55"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401C20"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MARÍ</w:t>
      </w:r>
      <w:r w:rsidR="00595191" w:rsidRPr="00CD542C">
        <w:rPr>
          <w:rFonts w:ascii="Times New Roman" w:hAnsi="Times New Roman"/>
          <w:sz w:val="28"/>
          <w:szCs w:val="28"/>
          <w:lang w:eastAsia="es-ES"/>
        </w:rPr>
        <w:t>A VICTORIA CALLE CORREA</w:t>
      </w:r>
    </w:p>
    <w:p w:rsidR="00595191" w:rsidRPr="00CD542C" w:rsidRDefault="00D62905"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Presidenta</w:t>
      </w:r>
    </w:p>
    <w:p w:rsidR="00595191" w:rsidRPr="00CD542C" w:rsidRDefault="00595191" w:rsidP="007F72D6">
      <w:pPr>
        <w:spacing w:after="0" w:line="240" w:lineRule="auto"/>
        <w:jc w:val="center"/>
        <w:rPr>
          <w:rFonts w:ascii="Times New Roman" w:hAnsi="Times New Roman"/>
          <w:sz w:val="28"/>
          <w:szCs w:val="28"/>
          <w:lang w:eastAsia="es-ES"/>
        </w:rPr>
      </w:pPr>
    </w:p>
    <w:p w:rsidR="00B50E55" w:rsidRPr="00CD542C" w:rsidRDefault="00B50E55"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LUIS GUILLERMO GUERRERO PÉREZ</w:t>
      </w: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Magistrado</w:t>
      </w:r>
    </w:p>
    <w:p w:rsidR="00595191" w:rsidRPr="00CD542C" w:rsidRDefault="00595191" w:rsidP="007F72D6">
      <w:pPr>
        <w:spacing w:after="0" w:line="240" w:lineRule="auto"/>
        <w:jc w:val="center"/>
        <w:rPr>
          <w:rFonts w:ascii="Times New Roman" w:hAnsi="Times New Roman"/>
          <w:sz w:val="28"/>
          <w:szCs w:val="28"/>
          <w:lang w:eastAsia="es-ES"/>
        </w:rPr>
      </w:pPr>
    </w:p>
    <w:p w:rsidR="00B50E55" w:rsidRPr="00CD542C" w:rsidRDefault="00B50E55"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ALEJANDRO LINARES CANTILLO</w:t>
      </w: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Magistrado</w:t>
      </w: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GABRIEL EDUARDO MENDOZA MARTELO</w:t>
      </w: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Magistrado</w:t>
      </w:r>
    </w:p>
    <w:p w:rsidR="00595191" w:rsidRPr="00CD542C" w:rsidRDefault="00595191" w:rsidP="007F72D6">
      <w:pPr>
        <w:spacing w:after="0" w:line="240" w:lineRule="auto"/>
        <w:jc w:val="center"/>
        <w:rPr>
          <w:rFonts w:ascii="Times New Roman" w:hAnsi="Times New Roman"/>
          <w:sz w:val="28"/>
          <w:szCs w:val="28"/>
          <w:lang w:eastAsia="es-ES"/>
        </w:rPr>
      </w:pPr>
    </w:p>
    <w:p w:rsidR="00B50E55" w:rsidRPr="00CD542C" w:rsidRDefault="00B50E55"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401C20"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JORGE IVÁ</w:t>
      </w:r>
      <w:r w:rsidR="00595191" w:rsidRPr="00CD542C">
        <w:rPr>
          <w:rFonts w:ascii="Times New Roman" w:hAnsi="Times New Roman"/>
          <w:sz w:val="28"/>
          <w:szCs w:val="28"/>
          <w:lang w:eastAsia="es-ES"/>
        </w:rPr>
        <w:t>N PALACIO PALACIO</w:t>
      </w: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Magistrado</w:t>
      </w:r>
    </w:p>
    <w:p w:rsidR="00B50E55" w:rsidRPr="00CD542C" w:rsidRDefault="00B50E55"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JORGE IGNACIO PRETELT CHALJUB</w:t>
      </w:r>
    </w:p>
    <w:p w:rsidR="00595191"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Magistrado</w:t>
      </w:r>
    </w:p>
    <w:p w:rsidR="007F72D6" w:rsidRPr="007F72D6" w:rsidRDefault="007F72D6" w:rsidP="007F72D6">
      <w:pPr>
        <w:spacing w:after="0" w:line="240" w:lineRule="auto"/>
        <w:jc w:val="center"/>
        <w:rPr>
          <w:rFonts w:ascii="Times New Roman" w:hAnsi="Times New Roman"/>
          <w:i/>
          <w:sz w:val="28"/>
          <w:szCs w:val="28"/>
          <w:lang w:eastAsia="es-ES"/>
        </w:rPr>
      </w:pPr>
      <w:r>
        <w:rPr>
          <w:rFonts w:ascii="Times New Roman" w:hAnsi="Times New Roman"/>
          <w:i/>
          <w:sz w:val="28"/>
          <w:szCs w:val="28"/>
          <w:lang w:eastAsia="es-ES"/>
        </w:rPr>
        <w:t>Con aclaración de voto</w:t>
      </w:r>
    </w:p>
    <w:p w:rsidR="00595191" w:rsidRPr="00CD542C" w:rsidRDefault="00595191" w:rsidP="007F72D6">
      <w:pPr>
        <w:spacing w:after="0" w:line="240" w:lineRule="auto"/>
        <w:jc w:val="center"/>
        <w:rPr>
          <w:rFonts w:ascii="Times New Roman" w:hAnsi="Times New Roman"/>
          <w:sz w:val="28"/>
          <w:szCs w:val="28"/>
          <w:lang w:eastAsia="es-ES"/>
        </w:rPr>
      </w:pPr>
    </w:p>
    <w:p w:rsidR="00B50E55" w:rsidRPr="00CD542C" w:rsidRDefault="00B50E55"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GLORIA STELLA ORTIZ DELGADO</w:t>
      </w: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Magistrada</w:t>
      </w: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ALBERTO R</w:t>
      </w:r>
      <w:r w:rsidR="00401C20" w:rsidRPr="00CD542C">
        <w:rPr>
          <w:rFonts w:ascii="Times New Roman" w:hAnsi="Times New Roman"/>
          <w:sz w:val="28"/>
          <w:szCs w:val="28"/>
          <w:lang w:eastAsia="es-ES"/>
        </w:rPr>
        <w:t>OJAS RÍ</w:t>
      </w:r>
      <w:r w:rsidRPr="00CD542C">
        <w:rPr>
          <w:rFonts w:ascii="Times New Roman" w:hAnsi="Times New Roman"/>
          <w:sz w:val="28"/>
          <w:szCs w:val="28"/>
          <w:lang w:eastAsia="es-ES"/>
        </w:rPr>
        <w:t>OS</w:t>
      </w: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Magistrado</w:t>
      </w:r>
    </w:p>
    <w:p w:rsidR="00595191" w:rsidRPr="007F72D6" w:rsidRDefault="007F72D6" w:rsidP="007F72D6">
      <w:pPr>
        <w:spacing w:after="0" w:line="240" w:lineRule="auto"/>
        <w:jc w:val="center"/>
        <w:rPr>
          <w:rFonts w:ascii="Times New Roman" w:hAnsi="Times New Roman"/>
          <w:i/>
          <w:sz w:val="28"/>
          <w:szCs w:val="28"/>
          <w:lang w:eastAsia="es-ES"/>
        </w:rPr>
      </w:pPr>
      <w:r>
        <w:rPr>
          <w:rFonts w:ascii="Times New Roman" w:hAnsi="Times New Roman"/>
          <w:i/>
          <w:sz w:val="28"/>
          <w:szCs w:val="28"/>
          <w:lang w:eastAsia="es-ES"/>
        </w:rPr>
        <w:t>Con salvamento parcial de voto</w:t>
      </w:r>
    </w:p>
    <w:p w:rsidR="00FC5BEC" w:rsidRPr="00CD542C" w:rsidRDefault="00FC5BEC"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0C0F4E" w:rsidRPr="00CD542C" w:rsidRDefault="000C0F4E"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LUIS ERNESTO VARGAS SILVA</w:t>
      </w:r>
    </w:p>
    <w:p w:rsidR="00595191" w:rsidRPr="00CD542C"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Magistrado</w:t>
      </w:r>
    </w:p>
    <w:p w:rsidR="00595191" w:rsidRPr="007F72D6" w:rsidRDefault="007F72D6" w:rsidP="007F72D6">
      <w:pPr>
        <w:spacing w:after="0" w:line="240" w:lineRule="auto"/>
        <w:jc w:val="center"/>
        <w:rPr>
          <w:rFonts w:ascii="Times New Roman" w:hAnsi="Times New Roman"/>
          <w:i/>
          <w:sz w:val="28"/>
          <w:szCs w:val="28"/>
          <w:lang w:eastAsia="es-ES"/>
        </w:rPr>
      </w:pPr>
      <w:r>
        <w:rPr>
          <w:rFonts w:ascii="Times New Roman" w:hAnsi="Times New Roman"/>
          <w:i/>
          <w:sz w:val="28"/>
          <w:szCs w:val="28"/>
          <w:lang w:eastAsia="es-ES"/>
        </w:rPr>
        <w:t xml:space="preserve">Ausente en comisión </w:t>
      </w:r>
    </w:p>
    <w:p w:rsidR="00595191" w:rsidRPr="00CD542C" w:rsidRDefault="00595191" w:rsidP="007F72D6">
      <w:pPr>
        <w:spacing w:after="0" w:line="240" w:lineRule="auto"/>
        <w:jc w:val="center"/>
        <w:rPr>
          <w:rFonts w:ascii="Times New Roman" w:hAnsi="Times New Roman"/>
          <w:sz w:val="28"/>
          <w:szCs w:val="28"/>
          <w:lang w:eastAsia="es-ES"/>
        </w:rPr>
      </w:pPr>
    </w:p>
    <w:p w:rsidR="00B50E55" w:rsidRPr="00CD542C" w:rsidRDefault="00B50E55" w:rsidP="007F72D6">
      <w:pPr>
        <w:spacing w:after="0" w:line="240" w:lineRule="auto"/>
        <w:jc w:val="center"/>
        <w:rPr>
          <w:rFonts w:ascii="Times New Roman" w:hAnsi="Times New Roman"/>
          <w:sz w:val="28"/>
          <w:szCs w:val="28"/>
          <w:lang w:eastAsia="es-ES"/>
        </w:rPr>
      </w:pPr>
    </w:p>
    <w:p w:rsidR="00595191" w:rsidRPr="00CD542C" w:rsidRDefault="00595191" w:rsidP="007F72D6">
      <w:pPr>
        <w:spacing w:after="0" w:line="240" w:lineRule="auto"/>
        <w:jc w:val="center"/>
        <w:rPr>
          <w:rFonts w:ascii="Times New Roman" w:hAnsi="Times New Roman"/>
          <w:sz w:val="28"/>
          <w:szCs w:val="28"/>
          <w:lang w:eastAsia="es-ES"/>
        </w:rPr>
      </w:pPr>
    </w:p>
    <w:p w:rsidR="00595191" w:rsidRPr="00CD542C" w:rsidRDefault="00401C20"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MARTHA VICTORIA SÁCHICA MÉ</w:t>
      </w:r>
      <w:r w:rsidR="00595191" w:rsidRPr="00CD542C">
        <w:rPr>
          <w:rFonts w:ascii="Times New Roman" w:hAnsi="Times New Roman"/>
          <w:sz w:val="28"/>
          <w:szCs w:val="28"/>
          <w:lang w:eastAsia="es-ES"/>
        </w:rPr>
        <w:t>NDEZ</w:t>
      </w:r>
    </w:p>
    <w:p w:rsidR="00693D10" w:rsidRDefault="00595191" w:rsidP="007F72D6">
      <w:pPr>
        <w:spacing w:after="0" w:line="240" w:lineRule="auto"/>
        <w:jc w:val="center"/>
        <w:rPr>
          <w:rFonts w:ascii="Times New Roman" w:hAnsi="Times New Roman"/>
          <w:sz w:val="28"/>
          <w:szCs w:val="28"/>
          <w:lang w:eastAsia="es-ES"/>
        </w:rPr>
      </w:pPr>
      <w:r w:rsidRPr="00CD542C">
        <w:rPr>
          <w:rFonts w:ascii="Times New Roman" w:hAnsi="Times New Roman"/>
          <w:sz w:val="28"/>
          <w:szCs w:val="28"/>
          <w:lang w:eastAsia="es-ES"/>
        </w:rPr>
        <w:t>Secretaria General</w:t>
      </w:r>
    </w:p>
    <w:p w:rsidR="00693D10" w:rsidRDefault="00693D10" w:rsidP="00693D10">
      <w:pPr>
        <w:shd w:val="clear" w:color="auto" w:fill="FFFFFF"/>
        <w:spacing w:after="0" w:line="240" w:lineRule="auto"/>
        <w:jc w:val="center"/>
        <w:textAlignment w:val="baseline"/>
        <w:rPr>
          <w:rFonts w:ascii="Times New Roman" w:hAnsi="Times New Roman"/>
          <w:b/>
          <w:bCs/>
          <w:sz w:val="28"/>
          <w:szCs w:val="28"/>
          <w:bdr w:val="none" w:sz="0" w:space="0" w:color="auto" w:frame="1"/>
        </w:rPr>
      </w:pPr>
      <w:r>
        <w:rPr>
          <w:rFonts w:ascii="Times New Roman" w:hAnsi="Times New Roman"/>
          <w:sz w:val="28"/>
          <w:szCs w:val="28"/>
          <w:lang w:eastAsia="es-ES"/>
        </w:rPr>
        <w:br w:type="page"/>
      </w:r>
      <w:r w:rsidRPr="00693D10">
        <w:rPr>
          <w:rFonts w:ascii="Times New Roman" w:hAnsi="Times New Roman"/>
          <w:b/>
          <w:bCs/>
          <w:sz w:val="28"/>
          <w:szCs w:val="28"/>
          <w:bdr w:val="none" w:sz="0" w:space="0" w:color="auto" w:frame="1"/>
        </w:rPr>
        <w:lastRenderedPageBreak/>
        <w:t xml:space="preserve">SALVAMENTO PARCIAL DE VOTO DEL MAGISTRADO </w:t>
      </w:r>
    </w:p>
    <w:p w:rsidR="00693D10" w:rsidRPr="00693D10" w:rsidRDefault="00693D10" w:rsidP="00693D10">
      <w:pPr>
        <w:shd w:val="clear" w:color="auto" w:fill="FFFFFF"/>
        <w:spacing w:after="0" w:line="240" w:lineRule="auto"/>
        <w:jc w:val="center"/>
        <w:textAlignment w:val="baseline"/>
        <w:rPr>
          <w:rFonts w:ascii="Times New Roman" w:hAnsi="Times New Roman"/>
          <w:b/>
          <w:bCs/>
          <w:sz w:val="28"/>
          <w:szCs w:val="28"/>
          <w:bdr w:val="none" w:sz="0" w:space="0" w:color="auto" w:frame="1"/>
        </w:rPr>
      </w:pPr>
      <w:r w:rsidRPr="00693D10">
        <w:rPr>
          <w:rFonts w:ascii="Times New Roman" w:hAnsi="Times New Roman"/>
          <w:b/>
          <w:bCs/>
          <w:sz w:val="28"/>
          <w:szCs w:val="28"/>
          <w:bdr w:val="none" w:sz="0" w:space="0" w:color="auto" w:frame="1"/>
        </w:rPr>
        <w:t xml:space="preserve">ALBERTO ROJAS RÍOS </w:t>
      </w:r>
    </w:p>
    <w:p w:rsidR="00693D10" w:rsidRPr="00693D10" w:rsidRDefault="00693D10" w:rsidP="00693D10">
      <w:pPr>
        <w:shd w:val="clear" w:color="auto" w:fill="FFFFFF"/>
        <w:spacing w:after="0" w:line="240" w:lineRule="auto"/>
        <w:jc w:val="center"/>
        <w:textAlignment w:val="baseline"/>
        <w:rPr>
          <w:rFonts w:ascii="Times New Roman" w:hAnsi="Times New Roman"/>
          <w:sz w:val="28"/>
          <w:szCs w:val="28"/>
        </w:rPr>
      </w:pPr>
      <w:r w:rsidRPr="00693D10">
        <w:rPr>
          <w:rFonts w:ascii="Times New Roman" w:hAnsi="Times New Roman"/>
          <w:b/>
          <w:bCs/>
          <w:sz w:val="28"/>
          <w:szCs w:val="28"/>
          <w:bdr w:val="none" w:sz="0" w:space="0" w:color="auto" w:frame="1"/>
        </w:rPr>
        <w:t>A LA SENTENCIA C-297/16</w:t>
      </w:r>
    </w:p>
    <w:p w:rsidR="00693D10" w:rsidRPr="00693D10" w:rsidRDefault="00693D10" w:rsidP="00693D10">
      <w:pPr>
        <w:spacing w:after="0" w:line="240" w:lineRule="auto"/>
        <w:ind w:right="-232"/>
        <w:jc w:val="center"/>
        <w:rPr>
          <w:rFonts w:ascii="Times New Roman" w:hAnsi="Times New Roman"/>
          <w:b/>
          <w:sz w:val="28"/>
          <w:szCs w:val="28"/>
        </w:rPr>
      </w:pPr>
    </w:p>
    <w:p w:rsidR="00693D10" w:rsidRPr="00693D10" w:rsidRDefault="00693D10" w:rsidP="00693D10">
      <w:pPr>
        <w:spacing w:after="0" w:line="240" w:lineRule="auto"/>
        <w:ind w:right="-232"/>
        <w:jc w:val="center"/>
        <w:rPr>
          <w:rFonts w:ascii="Times New Roman" w:hAnsi="Times New Roman"/>
          <w:b/>
          <w:sz w:val="28"/>
          <w:szCs w:val="28"/>
        </w:rPr>
      </w:pPr>
    </w:p>
    <w:p w:rsidR="00693D10" w:rsidRPr="00693D10" w:rsidRDefault="00693D10" w:rsidP="00693D10">
      <w:pPr>
        <w:spacing w:after="0" w:line="240" w:lineRule="auto"/>
        <w:ind w:left="3969" w:right="-232"/>
        <w:jc w:val="both"/>
        <w:rPr>
          <w:rFonts w:ascii="Times New Roman" w:hAnsi="Times New Roman"/>
          <w:sz w:val="28"/>
          <w:szCs w:val="28"/>
        </w:rPr>
      </w:pPr>
      <w:r w:rsidRPr="00693D10">
        <w:rPr>
          <w:rFonts w:ascii="Times New Roman" w:hAnsi="Times New Roman"/>
          <w:sz w:val="28"/>
          <w:szCs w:val="28"/>
        </w:rPr>
        <w:t>Ref: Expediente D- 11027</w:t>
      </w:r>
    </w:p>
    <w:p w:rsidR="00693D10" w:rsidRPr="00693D10" w:rsidRDefault="00693D10" w:rsidP="00693D10">
      <w:pPr>
        <w:spacing w:after="0" w:line="240" w:lineRule="auto"/>
        <w:ind w:left="3969" w:right="-232"/>
        <w:jc w:val="both"/>
        <w:rPr>
          <w:rFonts w:ascii="Times New Roman" w:hAnsi="Times New Roman"/>
          <w:sz w:val="28"/>
          <w:szCs w:val="28"/>
        </w:rPr>
      </w:pPr>
    </w:p>
    <w:p w:rsidR="00693D10" w:rsidRPr="00693D10" w:rsidRDefault="00693D10" w:rsidP="00693D10">
      <w:pPr>
        <w:spacing w:after="0" w:line="240" w:lineRule="auto"/>
        <w:ind w:left="3969"/>
        <w:jc w:val="both"/>
        <w:rPr>
          <w:rFonts w:ascii="Times New Roman" w:hAnsi="Times New Roman"/>
          <w:sz w:val="28"/>
          <w:szCs w:val="28"/>
        </w:rPr>
      </w:pPr>
      <w:r w:rsidRPr="00693D10">
        <w:rPr>
          <w:rFonts w:ascii="Times New Roman" w:hAnsi="Times New Roman"/>
          <w:sz w:val="28"/>
          <w:szCs w:val="28"/>
        </w:rPr>
        <w:t>Demanda de inconstitucionalidad contra el literal e) del artículo 2º (parcial) de la Ley 1761 de 2015, “</w:t>
      </w:r>
      <w:r w:rsidRPr="00693D10">
        <w:rPr>
          <w:rFonts w:ascii="Times New Roman" w:hAnsi="Times New Roman"/>
          <w:i/>
          <w:sz w:val="28"/>
          <w:szCs w:val="28"/>
        </w:rPr>
        <w:t>Por la cual se crea el tipo penal de feminicidio como delito autónomo y se dictan otras disposiciones</w:t>
      </w:r>
      <w:r w:rsidRPr="00693D10">
        <w:rPr>
          <w:rFonts w:ascii="Times New Roman" w:hAnsi="Times New Roman"/>
          <w:sz w:val="28"/>
          <w:szCs w:val="28"/>
        </w:rPr>
        <w:t>”</w:t>
      </w:r>
    </w:p>
    <w:p w:rsidR="00693D10" w:rsidRPr="00693D10" w:rsidRDefault="00693D10" w:rsidP="00693D10">
      <w:pPr>
        <w:spacing w:after="0" w:line="240" w:lineRule="auto"/>
        <w:ind w:left="3969"/>
        <w:jc w:val="both"/>
        <w:rPr>
          <w:rFonts w:ascii="Times New Roman" w:hAnsi="Times New Roman"/>
          <w:sz w:val="28"/>
          <w:szCs w:val="28"/>
        </w:rPr>
      </w:pPr>
    </w:p>
    <w:p w:rsidR="00693D10" w:rsidRPr="00693D10" w:rsidRDefault="00693D10" w:rsidP="00693D10">
      <w:pPr>
        <w:spacing w:after="0" w:line="240" w:lineRule="auto"/>
        <w:ind w:left="3969" w:right="-232"/>
        <w:jc w:val="both"/>
        <w:rPr>
          <w:rFonts w:ascii="Times New Roman" w:hAnsi="Times New Roman"/>
          <w:sz w:val="28"/>
          <w:szCs w:val="28"/>
        </w:rPr>
      </w:pPr>
      <w:r w:rsidRPr="00693D10">
        <w:rPr>
          <w:rFonts w:ascii="Times New Roman" w:hAnsi="Times New Roman"/>
          <w:sz w:val="28"/>
          <w:szCs w:val="28"/>
        </w:rPr>
        <w:t xml:space="preserve">Magistrada Ponente: </w:t>
      </w:r>
    </w:p>
    <w:p w:rsidR="00693D10" w:rsidRPr="00693D10" w:rsidRDefault="00693D10" w:rsidP="00693D10">
      <w:pPr>
        <w:pStyle w:val="Ttulo3"/>
        <w:ind w:left="3969"/>
        <w:rPr>
          <w:szCs w:val="28"/>
        </w:rPr>
      </w:pPr>
      <w:r w:rsidRPr="00693D10">
        <w:rPr>
          <w:szCs w:val="28"/>
        </w:rPr>
        <w:t>Gloria Stella Ortiz Delgado</w:t>
      </w:r>
    </w:p>
    <w:p w:rsidR="00693D10" w:rsidRPr="00693D10" w:rsidRDefault="00693D10" w:rsidP="00693D10">
      <w:pPr>
        <w:spacing w:after="0" w:line="240" w:lineRule="auto"/>
        <w:ind w:right="-232"/>
        <w:rPr>
          <w:rFonts w:ascii="Times New Roman" w:hAnsi="Times New Roman"/>
          <w:sz w:val="28"/>
          <w:szCs w:val="28"/>
        </w:rPr>
      </w:pPr>
    </w:p>
    <w:p w:rsidR="00693D10" w:rsidRPr="00693D10" w:rsidRDefault="00693D10" w:rsidP="00693D10">
      <w:pPr>
        <w:spacing w:after="0" w:line="240" w:lineRule="auto"/>
        <w:ind w:right="-232"/>
        <w:rPr>
          <w:rFonts w:ascii="Times New Roman" w:hAnsi="Times New Roman"/>
          <w:sz w:val="28"/>
          <w:szCs w:val="28"/>
        </w:rPr>
      </w:pPr>
    </w:p>
    <w:p w:rsidR="00693D10" w:rsidRPr="00693D10" w:rsidRDefault="00693D10" w:rsidP="00693D10">
      <w:pPr>
        <w:spacing w:after="0" w:line="240" w:lineRule="auto"/>
        <w:jc w:val="both"/>
        <w:rPr>
          <w:rFonts w:ascii="Times New Roman" w:hAnsi="Times New Roman"/>
          <w:sz w:val="28"/>
          <w:szCs w:val="28"/>
        </w:rPr>
      </w:pPr>
      <w:r w:rsidRPr="00693D10">
        <w:rPr>
          <w:rFonts w:ascii="Times New Roman" w:hAnsi="Times New Roman"/>
          <w:sz w:val="28"/>
          <w:szCs w:val="28"/>
          <w:bdr w:val="none" w:sz="0" w:space="0" w:color="auto" w:frame="1"/>
          <w:lang w:val="es-CO"/>
        </w:rPr>
        <w:t>Hago explícitas las razones que me llevaron a salvar parcialmente el voto en la Sentencia de la referencia, en la cual la Corte declaró</w:t>
      </w:r>
      <w:r w:rsidRPr="00693D10">
        <w:rPr>
          <w:rFonts w:ascii="Times New Roman" w:hAnsi="Times New Roman"/>
          <w:sz w:val="28"/>
          <w:szCs w:val="28"/>
        </w:rPr>
        <w:t xml:space="preserve"> exequible</w:t>
      </w:r>
      <w:r w:rsidRPr="00693D10">
        <w:rPr>
          <w:rFonts w:ascii="Times New Roman" w:hAnsi="Times New Roman"/>
          <w:b/>
          <w:sz w:val="28"/>
          <w:szCs w:val="28"/>
        </w:rPr>
        <w:t xml:space="preserve"> </w:t>
      </w:r>
      <w:r w:rsidRPr="00693D10">
        <w:rPr>
          <w:rFonts w:ascii="Times New Roman" w:hAnsi="Times New Roman"/>
          <w:sz w:val="28"/>
          <w:szCs w:val="28"/>
        </w:rPr>
        <w:t xml:space="preserve">el literal e del </w:t>
      </w:r>
      <w:r w:rsidRPr="00693D10">
        <w:rPr>
          <w:rFonts w:ascii="Times New Roman" w:hAnsi="Times New Roman"/>
          <w:iCs/>
          <w:sz w:val="28"/>
          <w:szCs w:val="28"/>
          <w:lang w:val="es-CO"/>
        </w:rPr>
        <w:t xml:space="preserve">artículo 2º (parcial) de la Ley 1761 de 2015 </w:t>
      </w:r>
      <w:r w:rsidRPr="00693D10">
        <w:rPr>
          <w:rFonts w:ascii="Times New Roman" w:hAnsi="Times New Roman"/>
          <w:i/>
          <w:sz w:val="28"/>
          <w:szCs w:val="28"/>
          <w:lang w:val="es-CO"/>
        </w:rPr>
        <w:t>“P</w:t>
      </w:r>
      <w:r w:rsidRPr="00693D10">
        <w:rPr>
          <w:rFonts w:ascii="Times New Roman" w:hAnsi="Times New Roman"/>
          <w:i/>
          <w:sz w:val="28"/>
          <w:szCs w:val="28"/>
        </w:rPr>
        <w:t>or la cual se crea el tipo penal de feminicidio como delito autónomo y se dictan otras disposiciones</w:t>
      </w:r>
      <w:r w:rsidRPr="00693D10">
        <w:rPr>
          <w:rFonts w:ascii="Times New Roman" w:hAnsi="Times New Roman"/>
          <w:i/>
          <w:sz w:val="28"/>
          <w:szCs w:val="28"/>
          <w:lang w:val="es-CO"/>
        </w:rPr>
        <w:t xml:space="preserve">” (Rosa Elvira Cely), </w:t>
      </w:r>
      <w:r w:rsidRPr="00693D10">
        <w:rPr>
          <w:rFonts w:ascii="Times New Roman" w:hAnsi="Times New Roman"/>
          <w:iCs/>
          <w:sz w:val="28"/>
          <w:szCs w:val="28"/>
          <w:lang w:val="es-CO"/>
        </w:rPr>
        <w:t xml:space="preserve">por los cargos analizados, </w:t>
      </w:r>
      <w:r w:rsidRPr="00693D10">
        <w:rPr>
          <w:rFonts w:ascii="Times New Roman" w:hAnsi="Times New Roman"/>
          <w:sz w:val="28"/>
          <w:szCs w:val="28"/>
        </w:rPr>
        <w:t>en el entendido de que la violencia a la que se refiere el literal es violencia de género como una circunstancia contextual para determinar el elemento subjetivo del tipo: la intención de matar por el hecho de ser mujer o por motivos de identidad de género.</w:t>
      </w:r>
    </w:p>
    <w:p w:rsidR="00693D10" w:rsidRPr="00693D10" w:rsidRDefault="00693D10" w:rsidP="00693D10">
      <w:pPr>
        <w:spacing w:after="0" w:line="240" w:lineRule="auto"/>
        <w:jc w:val="both"/>
        <w:rPr>
          <w:rFonts w:ascii="Times New Roman" w:hAnsi="Times New Roman"/>
          <w:sz w:val="28"/>
          <w:szCs w:val="28"/>
        </w:rPr>
      </w:pP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r w:rsidRPr="00693D10">
        <w:rPr>
          <w:rFonts w:ascii="Times New Roman" w:hAnsi="Times New Roman"/>
          <w:sz w:val="28"/>
          <w:szCs w:val="28"/>
        </w:rPr>
        <w:t xml:space="preserve">Comparto la declaración de exequibilidad del literal e) del artículo 2º de la Ley 1671 de 2015 que establece uno de los elementos que caracterizan el tipo penal de feminicidio y lo distinguen del delito de homicidio, más no, el condicionamiento que se establece en la sentencia C-296 de 2016, por cuanto no obedece a una interpretación contraria a la Constitución que se derive del texto legal acusado, y que por tanto, deba ser excluida del ordenamiento jurídico. Por el contrario, como se expone en los fundamentos de la sentencia, el elemento normativo de la conducta punible que se acusa no vulnera el principio de legalidad, en la medida en que define una de las circunstancias que debe ser valorada por el juez y el fiscal con fundamento en los medios de prueba aportados al proceso y en conjunto con las demás circunstancias que distinguen e identifican la conducta punible de feminicidio, acorde con los convenios internacionales de derechos humanos que imponen a los Estados el compromiso de adoptar instrumentos para erradicar, prevenir, investigar y sancionar la violencia contra las mujeres por razones de género. </w:t>
      </w: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r w:rsidRPr="00693D10">
        <w:rPr>
          <w:rFonts w:ascii="Times New Roman" w:hAnsi="Times New Roman"/>
          <w:sz w:val="28"/>
          <w:szCs w:val="28"/>
        </w:rPr>
        <w:t xml:space="preserve">Observó que, según lo establece de manera expresa el artículo 104 adicionado al Código Penal, uno de los elementos normativos que diferencia al feminicidio del homicidio, radica en causar la muerte por la condición de ser mujer o por motivos de identidad de género, en las circunstancias que se enuncian en la disposición que se impugna parcialmente y que, por </w:t>
      </w:r>
      <w:r w:rsidRPr="00693D10">
        <w:rPr>
          <w:rFonts w:ascii="Times New Roman" w:hAnsi="Times New Roman"/>
          <w:sz w:val="28"/>
          <w:szCs w:val="28"/>
        </w:rPr>
        <w:lastRenderedPageBreak/>
        <w:t xml:space="preserve">consiguiente, no requería de un condicionamiento que nada agrega a la conducta tipificada como delito autónomo por el legislador. </w:t>
      </w: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r w:rsidRPr="00693D10">
        <w:rPr>
          <w:rFonts w:ascii="Times New Roman" w:hAnsi="Times New Roman"/>
          <w:sz w:val="28"/>
          <w:szCs w:val="28"/>
        </w:rPr>
        <w:t xml:space="preserve">En mi concepto, en el análisis de los ingredientes del tipo penal efectuado en la sentencia, se incurre en el equívoco de convertir el contexto, que es un elemento subjetivo del tipo penal en un elemento normativo, lo cual conduce a la imprecisión de asumir la conducta punible de feminicidio como un fenómeno de violencia de género contextual – que incluye la identidad de género-. Con ello, le da carta de naturaleza al contexto que técnicamente nunca se ha aceptado como prueba, salvo por los tribunales internacionales, pero en este caso, frente al establecimiento de responsabilidad de los Estados, en el cual puede jugar un papel importante el contexto político en que se juzgue la violación de derechos humanos. </w:t>
      </w: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r w:rsidRPr="00693D10">
        <w:rPr>
          <w:rFonts w:ascii="Times New Roman" w:hAnsi="Times New Roman"/>
          <w:sz w:val="28"/>
          <w:szCs w:val="28"/>
        </w:rPr>
        <w:t>En conclusión, causar la muerte de la mujer por razones de género o de identidad de género es por sí misma reprochable, más allá del contexto.</w:t>
      </w: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r w:rsidRPr="00693D10">
        <w:rPr>
          <w:rFonts w:ascii="Times New Roman" w:hAnsi="Times New Roman"/>
          <w:sz w:val="28"/>
          <w:szCs w:val="28"/>
        </w:rPr>
        <w:t>Este salvamento parcial de voto, lleva el acostumbrado respeto por los pronunciamientos de este Tribunal Constitucional.</w:t>
      </w: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p>
    <w:p w:rsidR="00693D10" w:rsidRPr="00693D10" w:rsidRDefault="00693D10" w:rsidP="00693D10">
      <w:pPr>
        <w:shd w:val="clear" w:color="auto" w:fill="FFFFFF"/>
        <w:spacing w:after="0" w:line="240" w:lineRule="auto"/>
        <w:jc w:val="both"/>
        <w:textAlignment w:val="baseline"/>
        <w:rPr>
          <w:rFonts w:ascii="Times New Roman" w:hAnsi="Times New Roman"/>
          <w:sz w:val="28"/>
          <w:szCs w:val="28"/>
        </w:rPr>
      </w:pPr>
    </w:p>
    <w:p w:rsidR="00693D10" w:rsidRPr="00693D10" w:rsidRDefault="00693D10" w:rsidP="00693D10">
      <w:pPr>
        <w:spacing w:after="0" w:line="240" w:lineRule="auto"/>
        <w:jc w:val="both"/>
        <w:rPr>
          <w:rFonts w:ascii="Times New Roman" w:hAnsi="Times New Roman"/>
          <w:sz w:val="28"/>
          <w:szCs w:val="28"/>
        </w:rPr>
      </w:pPr>
    </w:p>
    <w:p w:rsidR="00693D10" w:rsidRPr="00693D10" w:rsidRDefault="00693D10" w:rsidP="00693D10">
      <w:pPr>
        <w:spacing w:after="0" w:line="240" w:lineRule="auto"/>
        <w:jc w:val="both"/>
        <w:rPr>
          <w:rFonts w:ascii="Times New Roman" w:hAnsi="Times New Roman"/>
          <w:sz w:val="28"/>
          <w:szCs w:val="28"/>
        </w:rPr>
      </w:pPr>
      <w:r w:rsidRPr="00693D10">
        <w:rPr>
          <w:rFonts w:ascii="Times New Roman" w:hAnsi="Times New Roman"/>
          <w:sz w:val="28"/>
          <w:szCs w:val="28"/>
        </w:rPr>
        <w:t>Fecha ut supra</w:t>
      </w:r>
    </w:p>
    <w:p w:rsidR="00693D10" w:rsidRPr="00693D10" w:rsidRDefault="00693D10" w:rsidP="00693D10">
      <w:pPr>
        <w:spacing w:after="0" w:line="240" w:lineRule="auto"/>
        <w:jc w:val="both"/>
        <w:rPr>
          <w:rFonts w:ascii="Times New Roman" w:hAnsi="Times New Roman"/>
          <w:sz w:val="28"/>
          <w:szCs w:val="28"/>
        </w:rPr>
      </w:pPr>
    </w:p>
    <w:p w:rsidR="00693D10" w:rsidRPr="00693D10" w:rsidRDefault="00693D10" w:rsidP="00693D10">
      <w:pPr>
        <w:spacing w:after="0" w:line="240" w:lineRule="auto"/>
        <w:jc w:val="both"/>
        <w:rPr>
          <w:rFonts w:ascii="Times New Roman" w:hAnsi="Times New Roman"/>
          <w:sz w:val="28"/>
          <w:szCs w:val="28"/>
        </w:rPr>
      </w:pPr>
    </w:p>
    <w:p w:rsidR="00693D10" w:rsidRPr="00693D10" w:rsidRDefault="00693D10" w:rsidP="00693D10">
      <w:pPr>
        <w:spacing w:after="0" w:line="240" w:lineRule="auto"/>
        <w:jc w:val="both"/>
        <w:rPr>
          <w:rFonts w:ascii="Times New Roman" w:hAnsi="Times New Roman"/>
          <w:sz w:val="28"/>
          <w:szCs w:val="28"/>
        </w:rPr>
      </w:pPr>
    </w:p>
    <w:p w:rsidR="00693D10" w:rsidRPr="00693D10" w:rsidRDefault="00693D10" w:rsidP="00693D10">
      <w:pPr>
        <w:spacing w:after="0" w:line="240" w:lineRule="auto"/>
        <w:jc w:val="center"/>
        <w:rPr>
          <w:rFonts w:ascii="Times New Roman" w:hAnsi="Times New Roman"/>
          <w:sz w:val="28"/>
          <w:szCs w:val="28"/>
        </w:rPr>
      </w:pPr>
      <w:r w:rsidRPr="00693D10">
        <w:rPr>
          <w:rFonts w:ascii="Times New Roman" w:hAnsi="Times New Roman"/>
          <w:sz w:val="28"/>
          <w:szCs w:val="28"/>
        </w:rPr>
        <w:t>ALBERTO ROJAS RÍOS</w:t>
      </w:r>
    </w:p>
    <w:p w:rsidR="00693D10" w:rsidRPr="00693D10" w:rsidRDefault="00693D10" w:rsidP="00693D10">
      <w:pPr>
        <w:spacing w:after="0" w:line="240" w:lineRule="auto"/>
        <w:jc w:val="center"/>
        <w:rPr>
          <w:rFonts w:ascii="Times New Roman" w:hAnsi="Times New Roman"/>
          <w:sz w:val="28"/>
          <w:szCs w:val="28"/>
        </w:rPr>
      </w:pPr>
      <w:r w:rsidRPr="00693D10">
        <w:rPr>
          <w:rFonts w:ascii="Times New Roman" w:hAnsi="Times New Roman"/>
          <w:sz w:val="28"/>
          <w:szCs w:val="28"/>
        </w:rPr>
        <w:t>Magistrado</w:t>
      </w:r>
    </w:p>
    <w:p w:rsidR="003035E2" w:rsidRDefault="003035E2" w:rsidP="007F72D6">
      <w:pPr>
        <w:spacing w:after="0" w:line="240" w:lineRule="auto"/>
        <w:jc w:val="center"/>
        <w:rPr>
          <w:rFonts w:ascii="Times New Roman" w:hAnsi="Times New Roman"/>
          <w:sz w:val="28"/>
          <w:szCs w:val="28"/>
          <w:lang w:eastAsia="es-ES"/>
        </w:rPr>
      </w:pPr>
    </w:p>
    <w:p w:rsidR="00D0251A" w:rsidRDefault="00D0251A" w:rsidP="007F72D6">
      <w:pPr>
        <w:spacing w:after="0" w:line="240" w:lineRule="auto"/>
        <w:jc w:val="center"/>
        <w:rPr>
          <w:rFonts w:ascii="Times New Roman" w:hAnsi="Times New Roman"/>
          <w:sz w:val="28"/>
          <w:szCs w:val="28"/>
          <w:lang w:eastAsia="es-ES"/>
        </w:rPr>
      </w:pPr>
    </w:p>
    <w:p w:rsidR="00D0251A" w:rsidRDefault="00D0251A" w:rsidP="007F72D6">
      <w:pPr>
        <w:spacing w:after="0" w:line="240" w:lineRule="auto"/>
        <w:jc w:val="center"/>
        <w:rPr>
          <w:rFonts w:ascii="Times New Roman" w:hAnsi="Times New Roman"/>
          <w:sz w:val="28"/>
          <w:szCs w:val="28"/>
          <w:lang w:eastAsia="es-ES"/>
        </w:rPr>
      </w:pPr>
    </w:p>
    <w:p w:rsidR="00B1106F" w:rsidRDefault="00B1106F" w:rsidP="007F72D6">
      <w:pPr>
        <w:spacing w:after="0" w:line="240" w:lineRule="auto"/>
        <w:jc w:val="center"/>
        <w:rPr>
          <w:rFonts w:ascii="Times New Roman" w:hAnsi="Times New Roman"/>
          <w:sz w:val="28"/>
          <w:szCs w:val="28"/>
          <w:lang w:eastAsia="es-ES"/>
        </w:rPr>
      </w:pPr>
    </w:p>
    <w:p w:rsidR="00B1106F" w:rsidRPr="00693D10" w:rsidRDefault="00B1106F" w:rsidP="007F72D6">
      <w:pPr>
        <w:spacing w:after="0" w:line="240" w:lineRule="auto"/>
        <w:jc w:val="center"/>
        <w:rPr>
          <w:rFonts w:ascii="Times New Roman" w:hAnsi="Times New Roman"/>
          <w:sz w:val="28"/>
          <w:szCs w:val="28"/>
          <w:lang w:eastAsia="es-ES"/>
        </w:rPr>
      </w:pPr>
    </w:p>
    <w:sectPr w:rsidR="00B1106F" w:rsidRPr="00693D10" w:rsidSect="008C4E6D">
      <w:headerReference w:type="even" r:id="rId9"/>
      <w:headerReference w:type="default" r:id="rId10"/>
      <w:pgSz w:w="12240" w:h="18720" w:code="14"/>
      <w:pgMar w:top="1701" w:right="1701" w:bottom="1418" w:left="1701" w:header="1021" w:footer="2098" w:gutter="0"/>
      <w:paperSrc w:first="260" w:other="26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1B1" w:rsidRDefault="003541B1" w:rsidP="00184063">
      <w:pPr>
        <w:spacing w:after="0" w:line="240" w:lineRule="auto"/>
      </w:pPr>
      <w:r>
        <w:separator/>
      </w:r>
    </w:p>
  </w:endnote>
  <w:endnote w:type="continuationSeparator" w:id="0">
    <w:p w:rsidR="003541B1" w:rsidRDefault="003541B1" w:rsidP="00184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1B1" w:rsidRDefault="003541B1" w:rsidP="00184063">
      <w:pPr>
        <w:spacing w:after="0" w:line="240" w:lineRule="auto"/>
      </w:pPr>
      <w:r>
        <w:separator/>
      </w:r>
    </w:p>
  </w:footnote>
  <w:footnote w:type="continuationSeparator" w:id="0">
    <w:p w:rsidR="003541B1" w:rsidRDefault="003541B1" w:rsidP="00184063">
      <w:pPr>
        <w:spacing w:after="0" w:line="240" w:lineRule="auto"/>
      </w:pPr>
      <w:r>
        <w:continuationSeparator/>
      </w:r>
    </w:p>
  </w:footnote>
  <w:footnote w:id="1">
    <w:p w:rsidR="00D12A7F" w:rsidRDefault="00CD542C" w:rsidP="00DF40ED">
      <w:pPr>
        <w:pStyle w:val="Textonotapie"/>
        <w:jc w:val="both"/>
      </w:pPr>
      <w:r w:rsidRPr="00254DA8">
        <w:rPr>
          <w:rStyle w:val="Refdenotaalpie"/>
        </w:rPr>
        <w:footnoteRef/>
      </w:r>
      <w:r w:rsidRPr="00254DA8">
        <w:t xml:space="preserve"> </w:t>
      </w:r>
      <w:r w:rsidRPr="00254DA8">
        <w:rPr>
          <w:lang w:val="es-CO"/>
        </w:rPr>
        <w:t>Folio 2.</w:t>
      </w:r>
    </w:p>
  </w:footnote>
  <w:footnote w:id="2">
    <w:p w:rsidR="00D12A7F" w:rsidRDefault="00CD542C" w:rsidP="00DF40ED">
      <w:pPr>
        <w:pStyle w:val="Textonotapie"/>
        <w:jc w:val="both"/>
      </w:pPr>
      <w:r w:rsidRPr="00254DA8">
        <w:rPr>
          <w:rStyle w:val="Refdenotaalpie"/>
        </w:rPr>
        <w:footnoteRef/>
      </w:r>
      <w:r w:rsidRPr="00254DA8">
        <w:t xml:space="preserve"> </w:t>
      </w:r>
      <w:r w:rsidRPr="00254DA8">
        <w:rPr>
          <w:lang w:val="es-CO"/>
        </w:rPr>
        <w:t>Folio 2.</w:t>
      </w:r>
    </w:p>
  </w:footnote>
  <w:footnote w:id="3">
    <w:p w:rsidR="00D12A7F" w:rsidRDefault="00CD542C" w:rsidP="00DF40ED">
      <w:pPr>
        <w:pStyle w:val="Textonotapie"/>
        <w:jc w:val="both"/>
      </w:pPr>
      <w:r w:rsidRPr="00254DA8">
        <w:rPr>
          <w:rStyle w:val="Refdenotaalpie"/>
        </w:rPr>
        <w:footnoteRef/>
      </w:r>
      <w:r w:rsidRPr="00254DA8">
        <w:t xml:space="preserve"> </w:t>
      </w:r>
      <w:r w:rsidRPr="00254DA8">
        <w:rPr>
          <w:lang w:val="es-CO"/>
        </w:rPr>
        <w:t>Folio 2.</w:t>
      </w:r>
    </w:p>
  </w:footnote>
  <w:footnote w:id="4">
    <w:p w:rsidR="00D12A7F" w:rsidRDefault="00CD542C" w:rsidP="00DF40ED">
      <w:pPr>
        <w:pStyle w:val="Textonotapie"/>
        <w:jc w:val="both"/>
      </w:pPr>
      <w:r w:rsidRPr="00254DA8">
        <w:rPr>
          <w:rStyle w:val="Refdenotaalpie"/>
        </w:rPr>
        <w:footnoteRef/>
      </w:r>
      <w:r w:rsidRPr="00254DA8">
        <w:t xml:space="preserve"> </w:t>
      </w:r>
      <w:r w:rsidRPr="00254DA8">
        <w:rPr>
          <w:lang w:val="es-CO"/>
        </w:rPr>
        <w:t>Folio 3.</w:t>
      </w:r>
    </w:p>
  </w:footnote>
  <w:footnote w:id="5">
    <w:p w:rsidR="00D12A7F" w:rsidRDefault="00CD542C" w:rsidP="00DF40ED">
      <w:pPr>
        <w:pStyle w:val="Textonotapie"/>
        <w:jc w:val="both"/>
      </w:pPr>
      <w:r w:rsidRPr="00254DA8">
        <w:rPr>
          <w:rStyle w:val="Refdenotaalpie"/>
        </w:rPr>
        <w:footnoteRef/>
      </w:r>
      <w:r w:rsidRPr="00254DA8">
        <w:t xml:space="preserve"> </w:t>
      </w:r>
      <w:r w:rsidRPr="00254DA8">
        <w:rPr>
          <w:lang w:val="es-CO"/>
        </w:rPr>
        <w:t xml:space="preserve">Folio 3. </w:t>
      </w:r>
    </w:p>
  </w:footnote>
  <w:footnote w:id="6">
    <w:p w:rsidR="00D12A7F" w:rsidRDefault="00CD542C" w:rsidP="00DF40ED">
      <w:pPr>
        <w:pStyle w:val="Textonotapie"/>
        <w:jc w:val="both"/>
      </w:pPr>
      <w:r w:rsidRPr="00254DA8">
        <w:rPr>
          <w:rStyle w:val="Refdenotaalpie"/>
        </w:rPr>
        <w:footnoteRef/>
      </w:r>
      <w:r w:rsidRPr="00254DA8">
        <w:t xml:space="preserve"> </w:t>
      </w:r>
      <w:r w:rsidRPr="00254DA8">
        <w:rPr>
          <w:lang w:val="es-CO"/>
        </w:rPr>
        <w:t>Folio 4.</w:t>
      </w:r>
    </w:p>
  </w:footnote>
  <w:footnote w:id="7">
    <w:p w:rsidR="00D12A7F" w:rsidRDefault="00CD542C" w:rsidP="00DF40ED">
      <w:pPr>
        <w:pStyle w:val="Textonotapie"/>
        <w:jc w:val="both"/>
      </w:pPr>
      <w:r w:rsidRPr="00254DA8">
        <w:rPr>
          <w:rStyle w:val="Refdenotaalpie"/>
        </w:rPr>
        <w:footnoteRef/>
      </w:r>
      <w:r w:rsidRPr="00254DA8">
        <w:t xml:space="preserve"> </w:t>
      </w:r>
      <w:r w:rsidRPr="00254DA8">
        <w:rPr>
          <w:lang w:val="es-CO"/>
        </w:rPr>
        <w:t>Folio 44.</w:t>
      </w:r>
    </w:p>
  </w:footnote>
  <w:footnote w:id="8">
    <w:p w:rsidR="00D12A7F" w:rsidRDefault="00CD542C" w:rsidP="00DF40ED">
      <w:pPr>
        <w:pStyle w:val="Textonotapie"/>
        <w:jc w:val="both"/>
      </w:pPr>
      <w:r w:rsidRPr="00254DA8">
        <w:rPr>
          <w:rStyle w:val="Refdenotaalpie"/>
        </w:rPr>
        <w:footnoteRef/>
      </w:r>
      <w:r w:rsidRPr="00254DA8">
        <w:t xml:space="preserve"> Folio 45.</w:t>
      </w:r>
    </w:p>
  </w:footnote>
  <w:footnote w:id="9">
    <w:p w:rsidR="00D12A7F" w:rsidRDefault="00CD542C" w:rsidP="00DF40ED">
      <w:pPr>
        <w:pStyle w:val="Textonotapie"/>
        <w:jc w:val="both"/>
      </w:pPr>
      <w:r w:rsidRPr="00254DA8">
        <w:rPr>
          <w:rStyle w:val="Refdenotaalpie"/>
        </w:rPr>
        <w:footnoteRef/>
      </w:r>
      <w:r w:rsidRPr="00254DA8">
        <w:t xml:space="preserve"> </w:t>
      </w:r>
      <w:r w:rsidRPr="00254DA8">
        <w:rPr>
          <w:lang w:val="es-CO"/>
        </w:rPr>
        <w:t>Folio 45.</w:t>
      </w:r>
    </w:p>
  </w:footnote>
  <w:footnote w:id="10">
    <w:p w:rsidR="00D12A7F" w:rsidRDefault="00CD542C" w:rsidP="00DF40ED">
      <w:pPr>
        <w:pStyle w:val="Textonotapie"/>
        <w:jc w:val="both"/>
      </w:pPr>
      <w:r w:rsidRPr="00254DA8">
        <w:rPr>
          <w:rStyle w:val="Refdenotaalpie"/>
        </w:rPr>
        <w:footnoteRef/>
      </w:r>
      <w:r w:rsidRPr="00254DA8">
        <w:t xml:space="preserve"> </w:t>
      </w:r>
      <w:r w:rsidRPr="00254DA8">
        <w:rPr>
          <w:lang w:val="es-CO"/>
        </w:rPr>
        <w:t xml:space="preserve">Folio 48. </w:t>
      </w:r>
    </w:p>
  </w:footnote>
  <w:footnote w:id="11">
    <w:p w:rsidR="00D12A7F" w:rsidRDefault="00CD542C" w:rsidP="00DF40ED">
      <w:pPr>
        <w:pStyle w:val="Textonotapie"/>
        <w:jc w:val="both"/>
      </w:pPr>
      <w:r w:rsidRPr="00254DA8">
        <w:rPr>
          <w:rStyle w:val="Refdenotaalpie"/>
        </w:rPr>
        <w:footnoteRef/>
      </w:r>
      <w:r w:rsidRPr="00254DA8">
        <w:t xml:space="preserve"> </w:t>
      </w:r>
      <w:r w:rsidRPr="00254DA8">
        <w:rPr>
          <w:lang w:val="es-CO"/>
        </w:rPr>
        <w:t>Folio 50.</w:t>
      </w:r>
    </w:p>
  </w:footnote>
  <w:footnote w:id="12">
    <w:p w:rsidR="00D12A7F" w:rsidRDefault="00CD542C" w:rsidP="00DF40ED">
      <w:pPr>
        <w:pStyle w:val="Textonotapie"/>
        <w:jc w:val="both"/>
      </w:pPr>
      <w:r w:rsidRPr="00254DA8">
        <w:rPr>
          <w:rStyle w:val="Refdenotaalpie"/>
        </w:rPr>
        <w:footnoteRef/>
      </w:r>
      <w:r w:rsidRPr="00254DA8">
        <w:t xml:space="preserve"> </w:t>
      </w:r>
      <w:r w:rsidRPr="00254DA8">
        <w:rPr>
          <w:lang w:val="es-CO"/>
        </w:rPr>
        <w:t>Folio 73.</w:t>
      </w:r>
    </w:p>
  </w:footnote>
  <w:footnote w:id="13">
    <w:p w:rsidR="00D12A7F" w:rsidRDefault="00CD542C">
      <w:pPr>
        <w:pStyle w:val="Textonotapie"/>
      </w:pPr>
      <w:r>
        <w:rPr>
          <w:rStyle w:val="Refdenotaalpie"/>
        </w:rPr>
        <w:footnoteRef/>
      </w:r>
      <w:r>
        <w:t xml:space="preserve"> </w:t>
      </w:r>
      <w:r>
        <w:rPr>
          <w:lang w:val="es-CO"/>
        </w:rPr>
        <w:t>Folio 71.</w:t>
      </w:r>
    </w:p>
  </w:footnote>
  <w:footnote w:id="14">
    <w:p w:rsidR="00D12A7F" w:rsidRDefault="00CD542C" w:rsidP="00DF40ED">
      <w:pPr>
        <w:pStyle w:val="Textonotapie"/>
        <w:jc w:val="both"/>
      </w:pPr>
      <w:r w:rsidRPr="00254DA8">
        <w:rPr>
          <w:rStyle w:val="Refdenotaalpie"/>
        </w:rPr>
        <w:footnoteRef/>
      </w:r>
      <w:r w:rsidRPr="00254DA8">
        <w:t xml:space="preserve"> </w:t>
      </w:r>
      <w:r w:rsidRPr="00254DA8">
        <w:rPr>
          <w:lang w:val="es-CO"/>
        </w:rPr>
        <w:t>Folio 71.</w:t>
      </w:r>
    </w:p>
  </w:footnote>
  <w:footnote w:id="15">
    <w:p w:rsidR="00D12A7F" w:rsidRDefault="00CD542C" w:rsidP="00DF40ED">
      <w:pPr>
        <w:pStyle w:val="Textonotapie"/>
        <w:jc w:val="both"/>
      </w:pPr>
      <w:r w:rsidRPr="00254DA8">
        <w:rPr>
          <w:rStyle w:val="Refdenotaalpie"/>
        </w:rPr>
        <w:footnoteRef/>
      </w:r>
      <w:r w:rsidRPr="00254DA8">
        <w:t xml:space="preserve"> </w:t>
      </w:r>
      <w:r w:rsidRPr="00254DA8">
        <w:rPr>
          <w:lang w:val="es-CO"/>
        </w:rPr>
        <w:t>Folio 73.</w:t>
      </w:r>
    </w:p>
  </w:footnote>
  <w:footnote w:id="16">
    <w:p w:rsidR="00D12A7F" w:rsidRDefault="00CD542C" w:rsidP="00DF40ED">
      <w:pPr>
        <w:pStyle w:val="Textonotapie"/>
        <w:jc w:val="both"/>
      </w:pPr>
      <w:r w:rsidRPr="00254DA8">
        <w:rPr>
          <w:rStyle w:val="Refdenotaalpie"/>
        </w:rPr>
        <w:footnoteRef/>
      </w:r>
      <w:r w:rsidRPr="00254DA8">
        <w:t>C-739 de 2000 M.P. Fabio Morón Díaz</w:t>
      </w:r>
    </w:p>
  </w:footnote>
  <w:footnote w:id="17">
    <w:p w:rsidR="00D12A7F" w:rsidRDefault="00CD542C" w:rsidP="00DF40ED">
      <w:pPr>
        <w:pStyle w:val="Textonotapie"/>
        <w:jc w:val="both"/>
      </w:pPr>
      <w:r w:rsidRPr="00254DA8">
        <w:rPr>
          <w:rStyle w:val="Refdenotaalpie"/>
        </w:rPr>
        <w:footnoteRef/>
      </w:r>
      <w:r w:rsidRPr="00254DA8">
        <w:rPr>
          <w:vertAlign w:val="superscript"/>
        </w:rPr>
        <w:t xml:space="preserve"> </w:t>
      </w:r>
      <w:r w:rsidRPr="00254DA8">
        <w:rPr>
          <w:lang w:val="es-CO"/>
        </w:rPr>
        <w:t xml:space="preserve">C-501 de 2014. M.P. Luis Guillermo Guerrero. </w:t>
      </w:r>
    </w:p>
  </w:footnote>
  <w:footnote w:id="18">
    <w:p w:rsidR="00D12A7F" w:rsidRDefault="00CD542C" w:rsidP="00DF40ED">
      <w:pPr>
        <w:pStyle w:val="Textonotapie"/>
        <w:jc w:val="both"/>
      </w:pPr>
      <w:r w:rsidRPr="00254DA8">
        <w:rPr>
          <w:rStyle w:val="Refdenotaalpie"/>
        </w:rPr>
        <w:footnoteRef/>
      </w:r>
      <w:r w:rsidRPr="00254DA8">
        <w:t xml:space="preserve"> C-996 de 2000. M.P. Antonio Barrera Carbonell. </w:t>
      </w:r>
    </w:p>
  </w:footnote>
  <w:footnote w:id="19">
    <w:p w:rsidR="00D12A7F" w:rsidRDefault="00CD542C" w:rsidP="00DF40ED">
      <w:pPr>
        <w:pStyle w:val="Textonotapie"/>
        <w:jc w:val="both"/>
      </w:pPr>
      <w:r w:rsidRPr="00254DA8">
        <w:rPr>
          <w:rStyle w:val="Refdenotaalpie"/>
        </w:rPr>
        <w:footnoteRef/>
      </w:r>
      <w:r w:rsidRPr="00254DA8">
        <w:t xml:space="preserve"> Gaceta del Congreso de la República 773 de 2013, Exposición de motivos proyecto de ley 107 de 2013 del Senado.</w:t>
      </w:r>
    </w:p>
  </w:footnote>
  <w:footnote w:id="20">
    <w:p w:rsidR="00D12A7F" w:rsidRDefault="00CD542C" w:rsidP="00DF40ED">
      <w:pPr>
        <w:pStyle w:val="Textonotapie"/>
        <w:jc w:val="both"/>
      </w:pPr>
      <w:r w:rsidRPr="00254DA8">
        <w:rPr>
          <w:rStyle w:val="Refdenotaalpie"/>
        </w:rPr>
        <w:footnoteRef/>
      </w:r>
      <w:r w:rsidRPr="00254DA8">
        <w:t xml:space="preserve"> Gaceta del Congreso de la República 773 de 2013, Exposición de motivos proyecto de ley 107 de 2013 del Senado.</w:t>
      </w:r>
    </w:p>
  </w:footnote>
  <w:footnote w:id="21">
    <w:p w:rsidR="00D12A7F" w:rsidRDefault="00CD542C" w:rsidP="00DF40ED">
      <w:pPr>
        <w:pStyle w:val="Textonotapie"/>
        <w:jc w:val="both"/>
      </w:pPr>
      <w:r w:rsidRPr="00254DA8">
        <w:rPr>
          <w:rStyle w:val="Refdenotaalpie"/>
        </w:rPr>
        <w:footnoteRef/>
      </w:r>
      <w:r w:rsidRPr="00254DA8">
        <w:t xml:space="preserve"> Gaceta del Congreso de la República 773 de 2013, Exposición de motivos proyecto de ley 107 de 2013 del Senado: “</w:t>
      </w:r>
      <w:r w:rsidRPr="00254DA8">
        <w:rPr>
          <w:i/>
          <w:iCs/>
        </w:rPr>
        <w:t>El sistema Judicial colombiano no cuenta con mecanismos que le permitan investigar y sancionar la sistematicidad de los ataques, convirtiendo así en ineficaz la protección integral del bien jurídico tutelado de la vida y la integridad personal y generando un mayor riesgo para la víctima, ya que el agresor no encuentra un límite efectivo a su accionar violento</w:t>
      </w:r>
      <w:r w:rsidRPr="00254DA8">
        <w:t>”.</w:t>
      </w:r>
    </w:p>
  </w:footnote>
  <w:footnote w:id="22">
    <w:p w:rsidR="00D12A7F" w:rsidRDefault="00CD542C" w:rsidP="00DF40ED">
      <w:pPr>
        <w:pStyle w:val="Textonotapie"/>
        <w:jc w:val="both"/>
      </w:pPr>
      <w:r w:rsidRPr="00254DA8">
        <w:rPr>
          <w:rStyle w:val="Refdenotaalpie"/>
        </w:rPr>
        <w:footnoteRef/>
      </w:r>
      <w:r w:rsidRPr="00254DA8">
        <w:t xml:space="preserve"> En la exposición de motivos se hace un recuento de las cifras de violencia intrafamiliar, violencia sexual y los homicidios que tienen las características de feminicidios y los avances para su identificación por parte de las secretarías de la mujer en el nivel territorial. Este recuento, a pesar del subregistro, da cuenta de una situación generalizada en la que las mujeres son las mayores víctimas tanto de violencia intrafamiliar como sexual en un 80% aproximadamente. De otra parte, señala que de las 1284 mujeres asesinadas en Bogotá entre los años 2004 y 2012, al menos el 20% tiene las características del feminicidio. Igualmente, recoge los ejemplos de la tipificación del feminicidio en América Latina que atribuye a una respuesta al grado de violencia que sufren las mujeres en la región y los altos niveles de impunidad. También se refiere al delito en el sistema interamericano y en el sistema universal de derechos humanos. Así, señala que en la sesión 57 de la Comisión del Estatus Jurídico y Social de la Mujer se estableció como una necesidad la tipificación de este </w:t>
      </w:r>
      <w:r w:rsidR="00003216" w:rsidRPr="00254DA8">
        <w:t xml:space="preserve">delito. </w:t>
      </w:r>
      <w:r w:rsidRPr="00254DA8">
        <w:t>Por último, hace alusión al Modelo de Protocolo para la investigación de muertes por razones de género en América Latina: femicidio y/o feminicidio impulsado por ONU Mujeres Regional y a los diferentes esfuerzos de estas instancias por visibilizar la violencia contra las mujeres y la necesidad de dar respuestas apropiadas para estas.</w:t>
      </w:r>
    </w:p>
  </w:footnote>
  <w:footnote w:id="23">
    <w:p w:rsidR="00D12A7F" w:rsidRDefault="00CD542C" w:rsidP="00DF40ED">
      <w:pPr>
        <w:pStyle w:val="Textonotapie"/>
        <w:jc w:val="both"/>
      </w:pPr>
      <w:r w:rsidRPr="00254DA8">
        <w:rPr>
          <w:rStyle w:val="Refdenotaalpie"/>
        </w:rPr>
        <w:footnoteRef/>
      </w:r>
      <w:r w:rsidRPr="00254DA8">
        <w:t xml:space="preserve"> Gaceta del Congreso de la República 773 de 2013, Exposición de motivos proyecto de ley 107 de 2013 del Senado: “</w:t>
      </w:r>
      <w:r w:rsidRPr="00254DA8">
        <w:rPr>
          <w:i/>
          <w:iCs/>
        </w:rPr>
        <w:t>En el delito de feminicidio que se propone como un tipo penal autónomo, el bien jurídico protegido es la vida de las mujeres. Se trata de un tipo penal pluriofensivo, en tanto afecta un conjunto de derechos considerados fundamentales tales como la dignidad humana, la igualdad, la no discriminación, el libre desarrollo de la personalidad, todos estos bienes jurídicos a proteger</w:t>
      </w:r>
      <w:r w:rsidRPr="00254DA8">
        <w:t>”.</w:t>
      </w:r>
    </w:p>
  </w:footnote>
  <w:footnote w:id="24">
    <w:p w:rsidR="00D12A7F" w:rsidRDefault="00CD542C" w:rsidP="00DF40ED">
      <w:pPr>
        <w:pStyle w:val="Textonotapie"/>
        <w:jc w:val="both"/>
      </w:pPr>
      <w:r w:rsidRPr="00254DA8">
        <w:rPr>
          <w:rStyle w:val="Refdenotaalpie"/>
        </w:rPr>
        <w:footnoteRef/>
      </w:r>
      <w:r w:rsidRPr="00254DA8">
        <w:t xml:space="preserve"> Gaceta del Congreso de la República 773 de 2013, Exposición de motivos proyecto de ley 107 de 2013 del Senado.</w:t>
      </w:r>
    </w:p>
  </w:footnote>
  <w:footnote w:id="25">
    <w:p w:rsidR="00D12A7F" w:rsidRDefault="00CD542C" w:rsidP="00DF40ED">
      <w:pPr>
        <w:pStyle w:val="Textonotapie"/>
        <w:jc w:val="both"/>
      </w:pPr>
      <w:r w:rsidRPr="00254DA8">
        <w:rPr>
          <w:rStyle w:val="Refdenotaalpie"/>
        </w:rPr>
        <w:footnoteRef/>
      </w:r>
      <w:r w:rsidRPr="00254DA8">
        <w:t xml:space="preserve"> Gaceta del Congreso de la República 773 de 2013, Exposición de motivos proyecto de ley 107 de 2013 del Senado.</w:t>
      </w:r>
    </w:p>
  </w:footnote>
  <w:footnote w:id="26">
    <w:p w:rsidR="00D12A7F" w:rsidRDefault="00CD542C" w:rsidP="00DF40ED">
      <w:pPr>
        <w:pStyle w:val="Textonotapie"/>
        <w:jc w:val="both"/>
      </w:pPr>
      <w:r w:rsidRPr="00254DA8">
        <w:rPr>
          <w:rStyle w:val="Refdenotaalpie"/>
        </w:rPr>
        <w:footnoteRef/>
      </w:r>
      <w:r w:rsidRPr="00254DA8">
        <w:t xml:space="preserve"> Gaceta del Congreso de la República 773 de 2013, Exposición de motivos proyecto de ley 107 de 2013 del Senado.</w:t>
      </w:r>
    </w:p>
  </w:footnote>
  <w:footnote w:id="27">
    <w:p w:rsidR="00D12A7F" w:rsidRDefault="00CD542C" w:rsidP="00DF40ED">
      <w:pPr>
        <w:pStyle w:val="Textonotapie"/>
        <w:jc w:val="both"/>
      </w:pPr>
      <w:r w:rsidRPr="00254DA8">
        <w:rPr>
          <w:rStyle w:val="Refdenotaalpie"/>
        </w:rPr>
        <w:footnoteRef/>
      </w:r>
      <w:r w:rsidRPr="00254DA8">
        <w:t xml:space="preserve"> </w:t>
      </w:r>
      <w:r w:rsidRPr="00254DA8">
        <w:rPr>
          <w:lang w:val="es-CO"/>
        </w:rPr>
        <w:t xml:space="preserve">En especial la sentencia T-967 de 2014, M. P. Gloria Stella Ortiz Delgado. Ver también: </w:t>
      </w:r>
      <w:r w:rsidRPr="00254DA8">
        <w:t xml:space="preserve">Ver, entre otras, las sentencias C-438 de 2013, M. P. Alberto Rojas Ríos; C-781 de 2012, M. P. María Victoria Calle Correa; T-973 de 2011, M. P. Jorge Ignacio Pretelt Chaljub; T-677 de 2011, M. P. Juan Carlos Henao Pérez; T-1015 de 2010, M. P. Luis Ernesto Vargas Silva; A-092 de 2008 (Sala de seguimiento a la T-025 de 2004), M. P. Luis Ernesto Vargas Silva y C-408 de 1996, M. P. Alejandro Martínez Caballero. </w:t>
      </w:r>
    </w:p>
  </w:footnote>
  <w:footnote w:id="28">
    <w:p w:rsidR="00D12A7F" w:rsidRDefault="00CD542C" w:rsidP="00DF40ED">
      <w:pPr>
        <w:pStyle w:val="Textonotapie"/>
        <w:jc w:val="both"/>
      </w:pPr>
      <w:r w:rsidRPr="00254DA8">
        <w:rPr>
          <w:rStyle w:val="Refdenotaalpie"/>
        </w:rPr>
        <w:footnoteRef/>
      </w:r>
      <w:r w:rsidRPr="00254DA8">
        <w:t xml:space="preserve"> </w:t>
      </w:r>
      <w:r w:rsidRPr="00254DA8">
        <w:rPr>
          <w:lang w:val="es-CO"/>
        </w:rPr>
        <w:t xml:space="preserve">Tal es el caso de la posición de muchas mujeres frente a la administración de justicia cuando sus denuncias y/o reclamos son considerados como asuntos privados, producto de visiones que reflejan la desigualdad histórica y estructural contra éstas. En estos casos, esa </w:t>
      </w:r>
      <w:r w:rsidRPr="00254DA8">
        <w:rPr>
          <w:i/>
          <w:lang w:val="es-CO"/>
        </w:rPr>
        <w:t>neutralidad</w:t>
      </w:r>
      <w:r w:rsidRPr="00254DA8">
        <w:rPr>
          <w:lang w:val="es-CO"/>
        </w:rPr>
        <w:t xml:space="preserve"> de la justicia, puede ser problemática, pues detrás de ese velo, son identificables diversas barreras impuestas por la violencia y la discriminación contra éstas. En efecto, la falta de recursos económicos, la vergüenza, las amenazas, las intimidaciones, las distancias físicas o geográficas, la falta de orientación, la invisibilización, los estereotipos de género presentes en los operadores jurídicos, entre otras situaciones, son factores que permiten concluir que bajo una perspectiva de género </w:t>
      </w:r>
      <w:r w:rsidRPr="00254DA8">
        <w:rPr>
          <w:b/>
          <w:lang w:val="es-CO"/>
        </w:rPr>
        <w:t>una víctima de violencia en Colombia no llega en igualdad de armas procesales a las instancias judiciales</w:t>
      </w:r>
      <w:r>
        <w:rPr>
          <w:b/>
          <w:lang w:val="es-CO"/>
        </w:rPr>
        <w:t xml:space="preserve">. </w:t>
      </w:r>
    </w:p>
  </w:footnote>
  <w:footnote w:id="29">
    <w:p w:rsidR="00D12A7F" w:rsidRDefault="00CD542C" w:rsidP="00DF40ED">
      <w:pPr>
        <w:pStyle w:val="Textonotapie"/>
        <w:jc w:val="both"/>
      </w:pPr>
      <w:r w:rsidRPr="00254DA8">
        <w:rPr>
          <w:rStyle w:val="Refdenotaalpie"/>
        </w:rPr>
        <w:footnoteRef/>
      </w:r>
      <w:r w:rsidRPr="00254DA8">
        <w:t xml:space="preserve"> M.P. Gloria Stella Ortiz Delgado. En los siguientes párrafos se reitera lo dicho en la sentencia </w:t>
      </w:r>
      <w:r>
        <w:t xml:space="preserve">con la reproducción de los aspectos centrales de esa providencia. </w:t>
      </w:r>
    </w:p>
  </w:footnote>
  <w:footnote w:id="30">
    <w:p w:rsidR="00D12A7F" w:rsidRDefault="00CD542C" w:rsidP="00DF40ED">
      <w:pPr>
        <w:pStyle w:val="Textonotapie"/>
        <w:jc w:val="both"/>
      </w:pPr>
      <w:r w:rsidRPr="00254DA8">
        <w:rPr>
          <w:rStyle w:val="Refdenotaalpie"/>
        </w:rPr>
        <w:footnoteRef/>
      </w:r>
      <w:r w:rsidRPr="00254DA8">
        <w:t xml:space="preserve"> </w:t>
      </w:r>
      <w:r w:rsidRPr="00254DA8">
        <w:rPr>
          <w:lang w:val="es-ES_tradnl"/>
        </w:rPr>
        <w:t xml:space="preserve">Sentencia C-200 de 2002. M.P. Álvaro Tafur Galvis. </w:t>
      </w:r>
    </w:p>
  </w:footnote>
  <w:footnote w:id="31">
    <w:p w:rsidR="00D12A7F" w:rsidRDefault="00CD542C" w:rsidP="00DF40ED">
      <w:pPr>
        <w:pStyle w:val="Textonotapie"/>
        <w:jc w:val="both"/>
      </w:pPr>
      <w:r>
        <w:rPr>
          <w:rStyle w:val="Refdenotaalpie"/>
        </w:rPr>
        <w:footnoteRef/>
      </w:r>
      <w:r>
        <w:t xml:space="preserve"> Sentencia C-301 de 2011 M.P. Juan Carlos Henao Pérez; Sentencia C-820 de 2005 M.P. Clara Inés Vargas Hernández.</w:t>
      </w:r>
    </w:p>
  </w:footnote>
  <w:footnote w:id="32">
    <w:p w:rsidR="00D12A7F" w:rsidRDefault="00CD542C" w:rsidP="00DF40ED">
      <w:pPr>
        <w:pStyle w:val="Textonotapie"/>
        <w:jc w:val="both"/>
      </w:pPr>
      <w:r w:rsidRPr="00254DA8">
        <w:rPr>
          <w:rStyle w:val="Refdenotaalpie"/>
        </w:rPr>
        <w:footnoteRef/>
      </w:r>
      <w:r w:rsidRPr="00254DA8">
        <w:t xml:space="preserve"> </w:t>
      </w:r>
      <w:r w:rsidRPr="00254DA8">
        <w:rPr>
          <w:lang w:val="es-ES_tradnl"/>
        </w:rPr>
        <w:t>M.P. Manuel José Cepeda Espinosa</w:t>
      </w:r>
    </w:p>
  </w:footnote>
  <w:footnote w:id="33">
    <w:p w:rsidR="00D12A7F" w:rsidRDefault="00CD542C" w:rsidP="00DF40ED">
      <w:pPr>
        <w:pStyle w:val="Textonotapie"/>
        <w:jc w:val="both"/>
      </w:pPr>
      <w:r w:rsidRPr="00254DA8">
        <w:rPr>
          <w:rStyle w:val="Refdenotaalpie"/>
        </w:rPr>
        <w:footnoteRef/>
      </w:r>
      <w:r w:rsidRPr="00254DA8">
        <w:t xml:space="preserve"> </w:t>
      </w:r>
      <w:r w:rsidRPr="00254DA8">
        <w:rPr>
          <w:lang w:val="es-ES_tradnl"/>
        </w:rPr>
        <w:t>Sentencia C-599 de 1999 M.P. Alejandro Martínez Caballero.</w:t>
      </w:r>
    </w:p>
  </w:footnote>
  <w:footnote w:id="34">
    <w:p w:rsidR="00D12A7F" w:rsidRDefault="00CD542C" w:rsidP="00DF40ED">
      <w:pPr>
        <w:pStyle w:val="Textonotapie"/>
        <w:jc w:val="both"/>
      </w:pPr>
      <w:r w:rsidRPr="00254DA8">
        <w:rPr>
          <w:rStyle w:val="Refdenotaalpie"/>
        </w:rPr>
        <w:footnoteRef/>
      </w:r>
      <w:r w:rsidRPr="00254DA8">
        <w:t xml:space="preserve"> </w:t>
      </w:r>
      <w:r w:rsidRPr="00254DA8">
        <w:rPr>
          <w:lang w:val="es-ES_tradnl"/>
        </w:rPr>
        <w:t>Sentencia C-827 de 2011 M.P. Álvaro Tafur Galvis.</w:t>
      </w:r>
    </w:p>
  </w:footnote>
  <w:footnote w:id="35">
    <w:p w:rsidR="00D12A7F" w:rsidRDefault="00CD542C" w:rsidP="00DF40ED">
      <w:pPr>
        <w:pStyle w:val="Textonotapie"/>
        <w:jc w:val="both"/>
      </w:pPr>
      <w:r w:rsidRPr="00254DA8">
        <w:rPr>
          <w:rStyle w:val="Refdenotaalpie"/>
        </w:rPr>
        <w:footnoteRef/>
      </w:r>
      <w:r w:rsidRPr="00254DA8">
        <w:t xml:space="preserve"> </w:t>
      </w:r>
      <w:r w:rsidRPr="00254DA8">
        <w:rPr>
          <w:lang w:val="es-ES_tradnl"/>
        </w:rPr>
        <w:t>Sentencia C-343 de 2006 M.P. Manuel José Cepeda Espinosa</w:t>
      </w:r>
    </w:p>
  </w:footnote>
  <w:footnote w:id="36">
    <w:p w:rsidR="00D12A7F" w:rsidRDefault="00CD542C" w:rsidP="00DF40ED">
      <w:pPr>
        <w:pStyle w:val="Textonotapie"/>
        <w:jc w:val="both"/>
      </w:pPr>
      <w:r w:rsidRPr="00254DA8">
        <w:rPr>
          <w:rStyle w:val="Refdenotaalpie"/>
        </w:rPr>
        <w:footnoteRef/>
      </w:r>
      <w:r w:rsidRPr="00254DA8">
        <w:t xml:space="preserve"> M.P. </w:t>
      </w:r>
      <w:r w:rsidRPr="00254DA8">
        <w:rPr>
          <w:lang w:val="es-CO"/>
        </w:rPr>
        <w:t>Gloria Stella Ortiz Delgado.</w:t>
      </w:r>
    </w:p>
  </w:footnote>
  <w:footnote w:id="37">
    <w:p w:rsidR="00D12A7F" w:rsidRDefault="00CD542C" w:rsidP="00DF40ED">
      <w:pPr>
        <w:pStyle w:val="Textonotapie"/>
        <w:jc w:val="both"/>
      </w:pPr>
      <w:r w:rsidRPr="00254DA8">
        <w:rPr>
          <w:rStyle w:val="Refdenotaalpie"/>
        </w:rPr>
        <w:footnoteRef/>
      </w:r>
      <w:r w:rsidRPr="00254DA8">
        <w:t xml:space="preserve"> </w:t>
      </w:r>
      <w:r w:rsidRPr="00254DA8">
        <w:rPr>
          <w:lang w:val="es-CO"/>
        </w:rPr>
        <w:t>En este acápite se reitera y trascribe lo establecido en la sentencia C-181 de 2016 M.P. Gloria Stella Ortiz Delgado.</w:t>
      </w:r>
    </w:p>
  </w:footnote>
  <w:footnote w:id="38">
    <w:p w:rsidR="00CD542C" w:rsidRPr="00885614" w:rsidRDefault="00CD542C" w:rsidP="00DF40ED">
      <w:pPr>
        <w:pStyle w:val="Textonotapie"/>
        <w:jc w:val="both"/>
        <w:rPr>
          <w:i/>
          <w:iCs/>
        </w:rPr>
      </w:pPr>
      <w:r>
        <w:rPr>
          <w:rStyle w:val="Refdenotaalpie"/>
        </w:rPr>
        <w:footnoteRef/>
      </w:r>
      <w:r>
        <w:t xml:space="preserve"> Sentencia C-181 de 2016 M.P. Gloria Stella Ortiz Delgado: “</w:t>
      </w:r>
      <w:r w:rsidRPr="00885614">
        <w:rPr>
          <w:i/>
          <w:iCs/>
        </w:rPr>
        <w:t>La antijuridicidad o injusto penal implica la contradicción jurídica del acto objeto de reproche, es decir, de una parte, el desvalor de resultado el cual es formal cuando se infringe la ley y material, cuando se lesiona o se pone en peligro un bien jurídico protegido, y de otra parte, el desvalor de la acción con fundamento en el conocimiento de los hechos típicos dolosos o de la infracción al deber de cuidado en los delitos culposos, lo que genera el “injusto típico”.</w:t>
      </w:r>
    </w:p>
    <w:p w:rsidR="00D12A7F" w:rsidRDefault="00CD542C" w:rsidP="00DF40ED">
      <w:pPr>
        <w:pStyle w:val="Textonotapie"/>
        <w:jc w:val="both"/>
      </w:pPr>
      <w:r w:rsidRPr="00885614">
        <w:rPr>
          <w:i/>
          <w:iCs/>
        </w:rPr>
        <w:t>En la legislación colombiana, la antijuridicidad está consagrada en el artículo 11 del Código Penal del año 2000, que establece: “Para que una conducta típica sea punible se requiere que lesione o ponga efectivamente en peligro, sin justa causa, el bien jurídico tutelado por la ley penal</w:t>
      </w:r>
      <w:r>
        <w:t>.”</w:t>
      </w:r>
    </w:p>
  </w:footnote>
  <w:footnote w:id="39">
    <w:p w:rsidR="00CD542C" w:rsidRDefault="00CD542C" w:rsidP="00DF40ED">
      <w:pPr>
        <w:pStyle w:val="Textonotapie"/>
        <w:jc w:val="both"/>
      </w:pPr>
      <w:r>
        <w:rPr>
          <w:rStyle w:val="Refdenotaalpie"/>
        </w:rPr>
        <w:footnoteRef/>
      </w:r>
      <w:r>
        <w:t xml:space="preserve"> Conforme al artículo 21 del Código Penal, las modalidades de la culpabilidad del sujeto activo, pueden ser a título de: i) dolo; ii) culpa; o, iii) preterintención.</w:t>
      </w:r>
    </w:p>
    <w:p w:rsidR="00CD542C" w:rsidRDefault="00CD542C" w:rsidP="00DF40ED">
      <w:pPr>
        <w:pStyle w:val="Textonotapie"/>
        <w:jc w:val="both"/>
      </w:pPr>
      <w:r>
        <w:t>El dolo está definido en el artículo 22 del Código Penal de la siguiente manera: “</w:t>
      </w:r>
      <w:r w:rsidRPr="00885614">
        <w:rPr>
          <w:i/>
          <w:iCs/>
        </w:rPr>
        <w:t>La conducta es dolosa cuando el agente conoce los hechos constitutivos de la infracción penal y quiere su realización. También será dolosa cuando la realización de la infracción penal ha sido prevista como probable y su no realización se deja librada al azar</w:t>
      </w:r>
      <w:r>
        <w:t>”.</w:t>
      </w:r>
    </w:p>
    <w:p w:rsidR="00CD542C" w:rsidRDefault="00CD542C" w:rsidP="00DF40ED">
      <w:pPr>
        <w:pStyle w:val="Textonotapie"/>
        <w:jc w:val="both"/>
      </w:pPr>
      <w:r>
        <w:t xml:space="preserve">Por su parte, la culpa es aquella conducta en la que el resultado típico “(…) </w:t>
      </w:r>
      <w:r w:rsidRPr="00615F61">
        <w:rPr>
          <w:i/>
          <w:iCs/>
        </w:rPr>
        <w:t>es producto de la infracción al deber de cuidado y el agente debió haberlo previsto, o habiéndolo previsto, confió en poder evitarlo</w:t>
      </w:r>
      <w:r>
        <w:t>”.</w:t>
      </w:r>
    </w:p>
    <w:p w:rsidR="00D12A7F" w:rsidRDefault="00CD542C" w:rsidP="00DF40ED">
      <w:pPr>
        <w:pStyle w:val="Textonotapie"/>
        <w:jc w:val="both"/>
      </w:pPr>
      <w:r>
        <w:t>La preterintención está consagrada en el artículo 24 de la Ley 599 de 2000 (Código Penal) y está tipificada así: “</w:t>
      </w:r>
      <w:r w:rsidRPr="00885614">
        <w:rPr>
          <w:i/>
          <w:iCs/>
        </w:rPr>
        <w:t>La conducta es preterintencional cuando su resultado, siendo previsible, excede la intención del agente</w:t>
      </w:r>
      <w:r>
        <w:t>”. Sentencia C-181 de 2016 M.P. Gloria Stella Ortiz Delgado: “</w:t>
      </w:r>
      <w:r w:rsidRPr="00885614">
        <w:rPr>
          <w:i/>
          <w:iCs/>
        </w:rPr>
        <w:t>20. La culpabilidad es aquel juicio de reproche sobre la conducta del actor que permite imponer una sanción penal a su acción típica y antijurídica. Tiene como fundamento constitucional la consagración del principio de presunción de inocencia y el avance hacia un derecho penal del acto, conforme al artículo 29 Superior. En ese sentido, el desvalor se realiza sobre la conducta del actor en relación con el resultado reprochable, más no sobre aspectos internos como su personalidad, pensamiento, sentimientos, temperamento entre otros. Conforme a lo anterior, está proscrita cualquier forma de responsabilidad objetiva, pues la base de la imputación es el juicio de reproche de la conducta del sujeto activo al momento de cometer el acto. Por último, la culpabilidad permite graduar la imposición de la pena de manera proporcional, puesto que el análisis no se agota en la verificación del dolo, la culpa o la preterintención, sino que además, debe tenerse en cuenta el sentido específico que a la acción u omisión le imprime el fin perseguido por el sujeto</w:t>
      </w:r>
      <w:r>
        <w:t>”</w:t>
      </w:r>
      <w:r w:rsidRPr="00885614">
        <w:t>.</w:t>
      </w:r>
    </w:p>
  </w:footnote>
  <w:footnote w:id="40">
    <w:p w:rsidR="00D12A7F" w:rsidRDefault="00CD542C" w:rsidP="00DF40ED">
      <w:pPr>
        <w:pStyle w:val="Textonotapie"/>
        <w:jc w:val="both"/>
      </w:pPr>
      <w:r w:rsidRPr="00254DA8">
        <w:rPr>
          <w:rStyle w:val="Refdenotaalpie"/>
        </w:rPr>
        <w:footnoteRef/>
      </w:r>
      <w:r w:rsidRPr="00254DA8">
        <w:t xml:space="preserve"> Sentencia C-333 de 2001 M. P. Rodrigo Escobar Gil; Sentencia C-442 de 2011. M.P. Humberto Antonio Sierra Porto; Sentencia C-501 de 2014 M.P. Luis Guillermo Guerrero Pérez.</w:t>
      </w:r>
    </w:p>
  </w:footnote>
  <w:footnote w:id="41">
    <w:p w:rsidR="00D12A7F" w:rsidRDefault="00CD542C" w:rsidP="00DF40ED">
      <w:pPr>
        <w:pStyle w:val="Textonotapie"/>
        <w:jc w:val="both"/>
      </w:pPr>
      <w:r w:rsidRPr="00254DA8">
        <w:rPr>
          <w:rStyle w:val="Refdenotaalpie"/>
        </w:rPr>
        <w:footnoteRef/>
      </w:r>
      <w:r w:rsidRPr="00254DA8">
        <w:t xml:space="preserve"> Sentencia C-501 de 2014 M.P. Luis Guillermo Guerrero Pérez.</w:t>
      </w:r>
    </w:p>
  </w:footnote>
  <w:footnote w:id="42">
    <w:p w:rsidR="00CD542C" w:rsidRPr="00254DA8" w:rsidRDefault="00CD542C" w:rsidP="00DF40ED">
      <w:pPr>
        <w:pStyle w:val="Textonotapie"/>
        <w:jc w:val="both"/>
        <w:rPr>
          <w:i/>
          <w:iCs/>
        </w:rPr>
      </w:pPr>
      <w:r w:rsidRPr="00254DA8">
        <w:rPr>
          <w:rStyle w:val="Refdenotaalpie"/>
        </w:rPr>
        <w:footnoteRef/>
      </w:r>
      <w:r w:rsidRPr="00254DA8">
        <w:t xml:space="preserve"> Salvamento de voto de Eduardo Montealegre Lynett de la sentencia C-333 de 2001 M.P. Rodrigo Escobar Gil: “</w:t>
      </w:r>
      <w:r w:rsidRPr="00254DA8">
        <w:rPr>
          <w:i/>
          <w:iCs/>
        </w:rPr>
        <w:t>6. Welzel caracterizó los tipo abiertos, como normas que no definen exhaustivamente la conducta prohibida y</w:t>
      </w:r>
      <w:r w:rsidRPr="00254DA8">
        <w:t xml:space="preserve"> </w:t>
      </w:r>
      <w:r w:rsidRPr="00254DA8">
        <w:rPr>
          <w:i/>
          <w:iCs/>
        </w:rPr>
        <w:t xml:space="preserve">por ende necesitan un complemento por parte del juez (en la función creadora del juez, el finalismo coincide con el realismo jurídico). De acuerdo a la naturaleza de las cosas, hay cierto tipo de comportamientos que el legislador no puede describir minuciosamente, dada la multiplicidad de formas que puede revestir en la realidad. Trae como ejemplo los tipos culposos (delitos imprudentes) y los tipos de omisión impropia (delitos de comisión por omisión). </w:t>
      </w:r>
    </w:p>
    <w:p w:rsidR="00D12A7F" w:rsidRDefault="00CD542C" w:rsidP="00DF40ED">
      <w:pPr>
        <w:pStyle w:val="Textonotapie"/>
        <w:jc w:val="both"/>
      </w:pPr>
      <w:r w:rsidRPr="00254DA8">
        <w:rPr>
          <w:i/>
          <w:iCs/>
        </w:rPr>
        <w:t>El delito imprudente se caracteriza por la lesión o puesta en peligro de un bien jurídico, como consecuencia de la inobservancia a un deber de cuidado. Como resulta imposible describir en un tipo penal, o recoger en el ordenamiento todos los deberes de diligencia que le son exigibles a una persona en el tráfico jurídico, le corresponde al juez determinarlos en el caso concreto. Utiliza para ello criterios muy importantes, como el de la lex artis, la prohibición de poner en peligro abstracto bienes jurídicos, los reglamentos que regulan las actividades peligrosas, la figura del modelo diferenciado, etc. Lo mismo sucede en los delitos de comisión por omisión, en los cuales el criterio para imputar un no hacer (omisión) como equivalente a la realización activa de un comportamiento, radica en la posición de garante. Como no puede el legislador describir exhaustivamente todos los casos en que alguien tiene un deber específico de evitar un resultado, le corresponde hacerlo al juez, con base en criterios como el de creación de fuentes de peligro (competencia por organización) o deberes de protección de bienes jurídicos surgidos institucionalmente (competencia institucional)</w:t>
      </w:r>
      <w:r w:rsidRPr="00254DA8">
        <w:t>”.</w:t>
      </w:r>
    </w:p>
  </w:footnote>
  <w:footnote w:id="43">
    <w:p w:rsidR="00D12A7F" w:rsidRDefault="00CD542C" w:rsidP="00DF40ED">
      <w:pPr>
        <w:pStyle w:val="Textonotapie"/>
        <w:jc w:val="both"/>
      </w:pPr>
      <w:r w:rsidRPr="00254DA8">
        <w:rPr>
          <w:rStyle w:val="Refdenotaalpie"/>
        </w:rPr>
        <w:footnoteRef/>
      </w:r>
      <w:r w:rsidRPr="00254DA8">
        <w:t xml:space="preserve"> La sentencia C-127 de 1993 MP: Alejandro Martínez Caballero revisó la constitucionalidad del Decreto 2266 de 1991 por medio del cual se convirtieron algunas normas permanentes dictas en estado de sitio. En lo pertinente, la demanda aducía la violación al principio de tipicidad y el derecho el debido proceso puesto que el delito de terrorismo correspondía a un tipo penal abierto, ambiguo y vago. La Corte determinó que el delito de terrorismo, a pesar de ser un tipo penal abierto, era constitucional pues al tratarse de un tipo dinámico que se diferenciaba de los demás en que era pluriofensivo, obedecía a organizaciones delincuenciales sofisticadas y la actitud del terrorista era insensible a los valores de la Constitución, merecía un trato especial que admitía que el operador judicial superara el grado de indeterminación que éste tenía.</w:t>
      </w:r>
    </w:p>
  </w:footnote>
  <w:footnote w:id="44">
    <w:p w:rsidR="00D12A7F" w:rsidRDefault="00CD542C" w:rsidP="00DF40ED">
      <w:pPr>
        <w:spacing w:after="0" w:line="240" w:lineRule="auto"/>
        <w:jc w:val="both"/>
      </w:pPr>
      <w:r w:rsidRPr="00254DA8">
        <w:rPr>
          <w:rStyle w:val="Refdenotaalpie"/>
          <w:rFonts w:ascii="Times New Roman" w:hAnsi="Times New Roman"/>
          <w:sz w:val="20"/>
          <w:szCs w:val="20"/>
        </w:rPr>
        <w:footnoteRef/>
      </w:r>
      <w:r w:rsidRPr="00254DA8">
        <w:rPr>
          <w:rFonts w:ascii="Times New Roman" w:hAnsi="Times New Roman"/>
          <w:sz w:val="20"/>
          <w:szCs w:val="20"/>
        </w:rPr>
        <w:t xml:space="preserve"> M.P. María Victoria Calle Correa. En la sentencia la Corte analizó una demanda contra los artículos  44 y 45 (parcial) de la Ley 1453 de 2011, que tipificaban los delitos por la obstrucción de las vías que afecten el orden público y la perturbación del servicio de transporte público. El accionante sostenía que los artículos demandados criminalizaban la protesta social y que algunas de las expresiones contenidas en los artículos eran indeterminadas, en específico las expresiones “medios ilícitos”, “</w:t>
      </w:r>
      <w:r w:rsidRPr="00254DA8">
        <w:rPr>
          <w:rFonts w:ascii="Times New Roman" w:hAnsi="Times New Roman"/>
          <w:i/>
          <w:iCs/>
          <w:sz w:val="20"/>
          <w:szCs w:val="20"/>
        </w:rPr>
        <w:t>incite”</w:t>
      </w:r>
      <w:r w:rsidRPr="00254DA8">
        <w:rPr>
          <w:rFonts w:ascii="Times New Roman" w:hAnsi="Times New Roman"/>
          <w:sz w:val="20"/>
          <w:szCs w:val="20"/>
        </w:rPr>
        <w:t>, “</w:t>
      </w:r>
      <w:r w:rsidRPr="00254DA8">
        <w:rPr>
          <w:rFonts w:ascii="Times New Roman" w:hAnsi="Times New Roman"/>
          <w:i/>
          <w:iCs/>
          <w:sz w:val="20"/>
          <w:szCs w:val="20"/>
        </w:rPr>
        <w:t>dirija”</w:t>
      </w:r>
      <w:r w:rsidRPr="00254DA8">
        <w:rPr>
          <w:rFonts w:ascii="Times New Roman" w:hAnsi="Times New Roman"/>
          <w:sz w:val="20"/>
          <w:szCs w:val="20"/>
        </w:rPr>
        <w:t>, “</w:t>
      </w:r>
      <w:r w:rsidRPr="00254DA8">
        <w:rPr>
          <w:rFonts w:ascii="Times New Roman" w:hAnsi="Times New Roman"/>
          <w:i/>
          <w:iCs/>
          <w:sz w:val="20"/>
          <w:szCs w:val="20"/>
        </w:rPr>
        <w:t xml:space="preserve">constriña” </w:t>
      </w:r>
      <w:r w:rsidRPr="00254DA8">
        <w:rPr>
          <w:rFonts w:ascii="Times New Roman" w:hAnsi="Times New Roman"/>
          <w:iCs/>
          <w:sz w:val="20"/>
          <w:szCs w:val="20"/>
        </w:rPr>
        <w:t>y</w:t>
      </w:r>
      <w:r w:rsidRPr="00254DA8">
        <w:rPr>
          <w:rFonts w:ascii="Times New Roman" w:hAnsi="Times New Roman"/>
          <w:i/>
          <w:iCs/>
          <w:sz w:val="20"/>
          <w:szCs w:val="20"/>
        </w:rPr>
        <w:t xml:space="preserve"> “proporcione los medios”. </w:t>
      </w:r>
      <w:r w:rsidRPr="00254DA8">
        <w:rPr>
          <w:rFonts w:ascii="Times New Roman" w:hAnsi="Times New Roman"/>
          <w:sz w:val="20"/>
          <w:szCs w:val="20"/>
        </w:rPr>
        <w:t xml:space="preserve">La Corte consideró que los términos de la demanda tenían un contenido gramatical suficientemente comprensible para considerar que el tipo no era indeterminado. </w:t>
      </w:r>
      <w:r w:rsidRPr="00254DA8">
        <w:rPr>
          <w:rFonts w:ascii="Times New Roman" w:hAnsi="Times New Roman"/>
          <w:iCs/>
          <w:sz w:val="20"/>
          <w:szCs w:val="20"/>
        </w:rPr>
        <w:t>La sentencia se refirió al principio de legalidad, el cual definió conforme con la sentencia C-365 de 2012, que sostuvo: “</w:t>
      </w:r>
      <w:r w:rsidRPr="00254DA8">
        <w:rPr>
          <w:rFonts w:ascii="Times New Roman" w:hAnsi="Times New Roman"/>
          <w:i/>
          <w:sz w:val="20"/>
          <w:szCs w:val="20"/>
        </w:rPr>
        <w:t>El principio de legalidad está compuesto a su vez por una serie de garantías dentro de las cuales se encuentran: la taxatividad</w:t>
      </w:r>
      <w:r w:rsidRPr="00254DA8">
        <w:rPr>
          <w:rFonts w:ascii="Times New Roman" w:hAnsi="Times New Roman"/>
          <w:i/>
          <w:sz w:val="20"/>
          <w:szCs w:val="20"/>
          <w:u w:color="0000FF"/>
        </w:rPr>
        <w:t xml:space="preserve"> y la prohibición de la aplicación de normas penales retroactivamente (salvo sean más favorables para el reo). En este marco cobra particular importancia el principio de taxatividad, según la cual, las conductas punibles deben ser no sólo previamente sino taxativa e inequívocamente definidas por la ley. En este sentido: En virtud de los principios de legalidad  y tipicidad el legislador se encuentra obligado a establecer claramente en </w:t>
      </w:r>
      <w:r w:rsidR="00C67396" w:rsidRPr="00254DA8">
        <w:rPr>
          <w:rFonts w:ascii="Times New Roman" w:hAnsi="Times New Roman"/>
          <w:i/>
          <w:sz w:val="20"/>
          <w:szCs w:val="20"/>
          <w:u w:color="0000FF"/>
        </w:rPr>
        <w:t>qué</w:t>
      </w:r>
      <w:r w:rsidRPr="00254DA8">
        <w:rPr>
          <w:rFonts w:ascii="Times New Roman" w:hAnsi="Times New Roman"/>
          <w:i/>
          <w:sz w:val="20"/>
          <w:szCs w:val="20"/>
          <w:u w:color="0000FF"/>
        </w:rPr>
        <w:t xml:space="preserve"> circunstancias una conducta resulta punible y ello con el fin de que los destinatarios de la norma  sepan a ciencia cierta  cuándo responden por las conductas prohibidas por la ley. No puede dejarse al juez, en virtud de la imprecisión o vaguedad   del texto respectivo,  la posibilidad de remplazar  la expresión del legislador, pues ello pondría en tela de juicio el  principio de separación de  las ramas del poder público, postulado esencial del Estado de Derecho</w:t>
      </w:r>
      <w:r w:rsidRPr="00254DA8">
        <w:rPr>
          <w:rFonts w:ascii="Times New Roman" w:hAnsi="Times New Roman"/>
          <w:sz w:val="20"/>
          <w:szCs w:val="20"/>
          <w:u w:color="0000FF"/>
        </w:rPr>
        <w:t>”.</w:t>
      </w:r>
    </w:p>
  </w:footnote>
  <w:footnote w:id="45">
    <w:p w:rsidR="00D12A7F" w:rsidRDefault="00CD542C" w:rsidP="00DF40ED">
      <w:pPr>
        <w:widowControl w:val="0"/>
        <w:autoSpaceDE w:val="0"/>
        <w:autoSpaceDN w:val="0"/>
        <w:adjustRightInd w:val="0"/>
        <w:spacing w:after="0" w:line="240" w:lineRule="auto"/>
        <w:ind w:right="49"/>
        <w:jc w:val="both"/>
      </w:pPr>
      <w:r w:rsidRPr="00254DA8">
        <w:rPr>
          <w:rStyle w:val="Refdenotaalpie"/>
          <w:rFonts w:ascii="Times New Roman" w:hAnsi="Times New Roman"/>
          <w:sz w:val="20"/>
          <w:szCs w:val="20"/>
        </w:rPr>
        <w:footnoteRef/>
      </w:r>
      <w:r w:rsidRPr="00254DA8">
        <w:rPr>
          <w:rFonts w:ascii="Times New Roman" w:hAnsi="Times New Roman"/>
          <w:sz w:val="20"/>
          <w:szCs w:val="20"/>
        </w:rPr>
        <w:t xml:space="preserve"> Sentencia</w:t>
      </w:r>
      <w:r w:rsidRPr="00254DA8">
        <w:rPr>
          <w:rFonts w:ascii="Times New Roman" w:hAnsi="Times New Roman"/>
          <w:sz w:val="20"/>
          <w:szCs w:val="20"/>
          <w:lang w:val="es-CO"/>
        </w:rPr>
        <w:t xml:space="preserve"> </w:t>
      </w:r>
      <w:r w:rsidRPr="00254DA8">
        <w:rPr>
          <w:rFonts w:ascii="Times New Roman" w:hAnsi="Times New Roman"/>
          <w:sz w:val="20"/>
          <w:szCs w:val="20"/>
        </w:rPr>
        <w:t>C-742 de 2012 M.P. María Victoria Calle Correa.</w:t>
      </w:r>
      <w:r w:rsidRPr="00254DA8">
        <w:rPr>
          <w:rFonts w:ascii="Times New Roman" w:hAnsi="Times New Roman"/>
          <w:b/>
          <w:sz w:val="20"/>
          <w:szCs w:val="20"/>
        </w:rPr>
        <w:t xml:space="preserve"> </w:t>
      </w:r>
      <w:r w:rsidRPr="00254DA8">
        <w:rPr>
          <w:rFonts w:ascii="Times New Roman" w:hAnsi="Times New Roman"/>
          <w:sz w:val="20"/>
          <w:szCs w:val="20"/>
        </w:rPr>
        <w:t>La Corporación describió tres circunstancias bajo las cuales era posible sostener que se superaba una acusación de indeterminación del tipo penal, a saber: “</w:t>
      </w:r>
      <w:r w:rsidRPr="00254DA8">
        <w:rPr>
          <w:rFonts w:ascii="Times New Roman" w:hAnsi="Times New Roman"/>
          <w:i/>
          <w:sz w:val="20"/>
          <w:szCs w:val="20"/>
        </w:rPr>
        <w:t>Así, por una parte, se entiende superada una imprecisión si el resultado de la interpretación razonable es una norma penal que les asegura a los destinatarios de la ley un grado admisible de previsibilidad sobre las consecuencias jurídicas de sus comportamientos (CP art. 2).</w:t>
      </w:r>
      <w:r w:rsidRPr="00254DA8">
        <w:rPr>
          <w:rFonts w:ascii="Times New Roman" w:hAnsi="Times New Roman"/>
          <w:i/>
          <w:sz w:val="20"/>
          <w:szCs w:val="20"/>
          <w:u w:color="0000FF"/>
        </w:rPr>
        <w:t>  Por otra parte, se supera si además garantiza el derecho a la defensa (CP art. 29); esto es, si una eventual imputación o acusación por haber cometido el comportamiento descrito en el tipo, es susceptible de refutarse en algún caso.</w:t>
      </w:r>
      <w:r w:rsidRPr="00254DA8">
        <w:rPr>
          <w:rFonts w:ascii="Times New Roman" w:hAnsi="Times New Roman"/>
          <w:i/>
          <w:sz w:val="20"/>
          <w:szCs w:val="20"/>
          <w:u w:val="single" w:color="0000FF"/>
        </w:rPr>
        <w:t xml:space="preserve"> </w:t>
      </w:r>
      <w:r w:rsidRPr="00254DA8">
        <w:rPr>
          <w:rFonts w:ascii="Times New Roman" w:hAnsi="Times New Roman"/>
          <w:i/>
          <w:sz w:val="20"/>
          <w:szCs w:val="20"/>
          <w:u w:color="0000FF"/>
        </w:rPr>
        <w:t>Finalmente, se puede entender superada la indeterminación si además el sentido del precepto es tan claro, que es posible definir cuál es el comportamiento que pretende prevenirse o estimularse para proteger el bien jurídico (CP art. 2)”.</w:t>
      </w:r>
      <w:r w:rsidRPr="00254DA8">
        <w:rPr>
          <w:rFonts w:ascii="Times New Roman" w:hAnsi="Times New Roman"/>
          <w:sz w:val="20"/>
          <w:szCs w:val="20"/>
        </w:rPr>
        <w:t xml:space="preserve"> </w:t>
      </w:r>
    </w:p>
  </w:footnote>
  <w:footnote w:id="46">
    <w:p w:rsidR="00D12A7F" w:rsidRDefault="00CD542C" w:rsidP="00DF40ED">
      <w:pPr>
        <w:pStyle w:val="Textonotapie"/>
        <w:jc w:val="both"/>
      </w:pPr>
      <w:r>
        <w:rPr>
          <w:rStyle w:val="Refdenotaalpie"/>
        </w:rPr>
        <w:footnoteRef/>
      </w:r>
      <w:r>
        <w:t xml:space="preserve"> Sentencia C-442 de 2011 M.P. Humberto Antonio Sierra Porto.</w:t>
      </w:r>
    </w:p>
  </w:footnote>
  <w:footnote w:id="47">
    <w:p w:rsidR="00D12A7F" w:rsidRDefault="00CD542C" w:rsidP="00DF40ED">
      <w:pPr>
        <w:pStyle w:val="Textonotapie"/>
        <w:jc w:val="both"/>
      </w:pPr>
      <w:r w:rsidRPr="00254DA8">
        <w:rPr>
          <w:rStyle w:val="Refdenotaalpie"/>
        </w:rPr>
        <w:footnoteRef/>
      </w:r>
      <w:r w:rsidRPr="00254DA8">
        <w:t xml:space="preserve"> M.P. Luis Guillermo Guerrero Pérez.</w:t>
      </w:r>
    </w:p>
  </w:footnote>
  <w:footnote w:id="48">
    <w:p w:rsidR="00D12A7F" w:rsidRDefault="00CD542C" w:rsidP="00DF40ED">
      <w:pPr>
        <w:pStyle w:val="Textonotapie"/>
        <w:jc w:val="both"/>
      </w:pPr>
      <w:r w:rsidRPr="00254DA8">
        <w:rPr>
          <w:rStyle w:val="Refdenotaalpie"/>
        </w:rPr>
        <w:footnoteRef/>
      </w:r>
      <w:r w:rsidRPr="00254DA8">
        <w:t xml:space="preserve"> Sentencia C-501 de 2014 M.P. Luis Guillermo Guerrero Pérez.</w:t>
      </w:r>
    </w:p>
  </w:footnote>
  <w:footnote w:id="49">
    <w:p w:rsidR="00D12A7F" w:rsidRDefault="00CD542C" w:rsidP="00DF40ED">
      <w:pPr>
        <w:pStyle w:val="Textonotapie"/>
        <w:jc w:val="both"/>
      </w:pPr>
      <w:r w:rsidRPr="00254DA8">
        <w:rPr>
          <w:rStyle w:val="Refdenotaalpie"/>
        </w:rPr>
        <w:footnoteRef/>
      </w:r>
      <w:r w:rsidRPr="00254DA8">
        <w:t xml:space="preserve"> Sentencia C-599 de 1999 M.P. Alejandro Martínez Caballero; C-739 de 2000 M.P. Fabio Morón Díaz; Sentencia C-1490 de 2000 M. P. Fabio Morón Díaz; Sentencia C-917 de 2001 M.P. Alfredo Beltrán Sierra.</w:t>
      </w:r>
    </w:p>
  </w:footnote>
  <w:footnote w:id="50">
    <w:p w:rsidR="00CD542C" w:rsidRPr="00254DA8" w:rsidRDefault="00CD542C" w:rsidP="00DF40ED">
      <w:pPr>
        <w:pStyle w:val="Textonotapie"/>
        <w:jc w:val="both"/>
        <w:rPr>
          <w:lang w:val="es-CO"/>
        </w:rPr>
      </w:pPr>
      <w:r w:rsidRPr="00254DA8">
        <w:rPr>
          <w:rStyle w:val="Refdenotaalpie"/>
        </w:rPr>
        <w:footnoteRef/>
      </w:r>
      <w:r w:rsidRPr="00254DA8">
        <w:t xml:space="preserve"> </w:t>
      </w:r>
      <w:r w:rsidRPr="00254DA8">
        <w:rPr>
          <w:lang w:val="es-CO"/>
        </w:rPr>
        <w:t xml:space="preserve">Sentencia C-333 de 2001 M.P. Rodrigo Escobar Gil. La Corte conoció una demanda contra el artículo 235 del Código Penal, modificado por el artículo 1º del Decreto 141 de 1980.  Los demandantes consideraban que el artículo 235 del Código Penal sobre el delito de usura no era completo, pues estaba supeditado a una norma posterior –acto administrativo-, que definiera cuándo se considera que una actividad constituía usura por el interés cobrado. </w:t>
      </w:r>
      <w:r w:rsidRPr="00254DA8">
        <w:t>La Corte consideró que por la “</w:t>
      </w:r>
      <w:r w:rsidRPr="00254DA8">
        <w:rPr>
          <w:i/>
          <w:shd w:val="clear" w:color="auto" w:fill="FFFFFF"/>
        </w:rPr>
        <w:t>mutabilidad del entorno económico y financiero, el legislador ha estimado necesario, para la defensa del interés jurídico que se intenta proteger con el tipo de la usura, atribuir a las autoridades administrativas la potestad de complementarlo y para ese efecto les otorga un cierto margen de apreciación</w:t>
      </w:r>
      <w:r w:rsidRPr="00254DA8">
        <w:rPr>
          <w:shd w:val="clear" w:color="auto" w:fill="FFFFFF"/>
        </w:rPr>
        <w:t xml:space="preserve">”. En consecuencia, </w:t>
      </w:r>
      <w:r w:rsidRPr="00254DA8">
        <w:t xml:space="preserve">el tipo penal se debía complementar a través de un acto administrativo, en el que se indica la tasa de interés máxima permitida. </w:t>
      </w:r>
    </w:p>
    <w:p w:rsidR="00D12A7F" w:rsidRDefault="00CD542C" w:rsidP="00DF40ED">
      <w:pPr>
        <w:pStyle w:val="Textonotapie"/>
        <w:jc w:val="both"/>
      </w:pPr>
      <w:r w:rsidRPr="00254DA8">
        <w:rPr>
          <w:lang w:val="es-CO"/>
        </w:rPr>
        <w:t>Al estudiar el caso concreto la Corte estimó que “</w:t>
      </w:r>
      <w:r w:rsidRPr="00254DA8">
        <w:rPr>
          <w:i/>
          <w:iCs/>
          <w:lang w:val="es-CO"/>
        </w:rPr>
        <w:t>la norma acusada no es violatoria de la Constitución porque la misma contiene un tipo en blanco, para cuya concreción remite a un acto administrativo, la Certificación de la Superintendencia, en condiciones que no ameritan reproche de inconstitucionalidad, y que en la medida que sólo rige hacia el futuro no vulnera el principio de legalidad en materia penal</w:t>
      </w:r>
      <w:r w:rsidRPr="00254DA8">
        <w:rPr>
          <w:lang w:val="es-CO"/>
        </w:rPr>
        <w:t>”.</w:t>
      </w:r>
    </w:p>
  </w:footnote>
  <w:footnote w:id="51">
    <w:p w:rsidR="00D12A7F" w:rsidRDefault="00CD542C" w:rsidP="00DF40ED">
      <w:pPr>
        <w:pStyle w:val="Textonotapie"/>
        <w:jc w:val="both"/>
      </w:pPr>
      <w:r w:rsidRPr="00254DA8">
        <w:rPr>
          <w:rStyle w:val="Refdenotaalpie"/>
        </w:rPr>
        <w:footnoteRef/>
      </w:r>
      <w:r w:rsidRPr="00254DA8">
        <w:t xml:space="preserve"> Sentencia 501 de 2014 M.P. Luis Guillermo Guerrero Pérez, reiterando la Sentencia C-605 de 2006 M.P. Marco Gerardo Monroy Cabra.</w:t>
      </w:r>
    </w:p>
  </w:footnote>
  <w:footnote w:id="52">
    <w:p w:rsidR="00D12A7F" w:rsidRDefault="00CD542C" w:rsidP="00DF40ED">
      <w:pPr>
        <w:pStyle w:val="Textonotapie"/>
        <w:jc w:val="both"/>
      </w:pPr>
      <w:r w:rsidRPr="00254DA8">
        <w:rPr>
          <w:rStyle w:val="Refdenotaalpie"/>
        </w:rPr>
        <w:footnoteRef/>
      </w:r>
      <w:r w:rsidRPr="00254DA8">
        <w:t xml:space="preserve"> M.P. Marco Gerardo Monroy Cabra.</w:t>
      </w:r>
    </w:p>
  </w:footnote>
  <w:footnote w:id="53">
    <w:p w:rsidR="00CD542C" w:rsidRPr="00254DA8" w:rsidRDefault="00CD542C" w:rsidP="00DF40ED">
      <w:pPr>
        <w:spacing w:after="0" w:line="240" w:lineRule="auto"/>
        <w:jc w:val="both"/>
        <w:rPr>
          <w:rFonts w:ascii="Times New Roman" w:hAnsi="Times New Roman"/>
          <w:bCs/>
          <w:iCs/>
          <w:sz w:val="20"/>
          <w:szCs w:val="20"/>
        </w:rPr>
      </w:pPr>
      <w:r w:rsidRPr="00254DA8">
        <w:rPr>
          <w:rStyle w:val="Refdenotaalpie"/>
          <w:rFonts w:ascii="Times New Roman" w:hAnsi="Times New Roman"/>
          <w:sz w:val="20"/>
          <w:szCs w:val="20"/>
        </w:rPr>
        <w:footnoteRef/>
      </w:r>
      <w:r w:rsidRPr="00254DA8">
        <w:rPr>
          <w:rFonts w:ascii="Times New Roman" w:hAnsi="Times New Roman"/>
          <w:sz w:val="20"/>
          <w:szCs w:val="20"/>
        </w:rPr>
        <w:t xml:space="preserve"> En la Sentencia C-605 de 2006. M.P. Marco Gerardo Monroy Cabra la Corte estudió una demanda contra un apartado del </w:t>
      </w:r>
      <w:r w:rsidRPr="00254DA8">
        <w:rPr>
          <w:rFonts w:ascii="Times New Roman" w:hAnsi="Times New Roman"/>
          <w:sz w:val="20"/>
          <w:szCs w:val="20"/>
          <w:shd w:val="clear" w:color="auto" w:fill="FFFFFF"/>
        </w:rPr>
        <w:t xml:space="preserve">artículo 382 (parcial) de la Ley 599 de 2000, que establecía el delito de </w:t>
      </w:r>
      <w:r w:rsidRPr="00254DA8">
        <w:rPr>
          <w:rFonts w:ascii="Times New Roman" w:hAnsi="Times New Roman"/>
          <w:sz w:val="20"/>
          <w:szCs w:val="20"/>
        </w:rPr>
        <w:t xml:space="preserve"> tráfico de sustancias para el procesamiento de narcóticos y penalizaba el tráfico de  “</w:t>
      </w:r>
      <w:r w:rsidRPr="00254DA8">
        <w:rPr>
          <w:rFonts w:ascii="Times New Roman" w:hAnsi="Times New Roman"/>
          <w:bCs/>
          <w:i/>
          <w:iCs/>
          <w:sz w:val="20"/>
          <w:szCs w:val="20"/>
        </w:rPr>
        <w:t xml:space="preserve">otras sustancias que según concepto previo del Consejo Nacional de Estupefacientes se utilicen con el mismo fin”. </w:t>
      </w:r>
      <w:r w:rsidRPr="00254DA8">
        <w:rPr>
          <w:rFonts w:ascii="Times New Roman" w:hAnsi="Times New Roman"/>
          <w:bCs/>
          <w:iCs/>
          <w:sz w:val="20"/>
          <w:szCs w:val="20"/>
        </w:rPr>
        <w:t xml:space="preserve">De acuerdo con el demandante, la determinación del tipo quedaba al arbitrio de una autoridad administrativa, lo cual era contrario al principio de legalidad en materia penal, consagrado en el artículo 29 de la Constitución. </w:t>
      </w:r>
    </w:p>
    <w:p w:rsidR="00CD542C" w:rsidRPr="00254DA8" w:rsidRDefault="00CD542C" w:rsidP="00DF40ED">
      <w:pPr>
        <w:spacing w:after="0" w:line="240" w:lineRule="auto"/>
        <w:jc w:val="both"/>
        <w:rPr>
          <w:rFonts w:ascii="Times New Roman" w:hAnsi="Times New Roman"/>
          <w:bCs/>
          <w:iCs/>
          <w:sz w:val="20"/>
          <w:szCs w:val="20"/>
        </w:rPr>
      </w:pPr>
      <w:r w:rsidRPr="00254DA8">
        <w:rPr>
          <w:rFonts w:ascii="Times New Roman" w:hAnsi="Times New Roman"/>
          <w:bCs/>
          <w:iCs/>
          <w:sz w:val="20"/>
          <w:szCs w:val="20"/>
        </w:rPr>
        <w:t xml:space="preserve">La Corte determinó que era admisible que los tipos penales en blanco fueran complementados por una norma de rango infralegal.  Al determinar el alcance del tipo penal sostuvo que aquel describía los elementos estructurales del tipo, pero era evidente que en la definición de la conducta, el Legislador no puntualizó, con detalle, las sustancias cuyo tráfico se castiga.  Sobre la remisión sostuvo: </w:t>
      </w:r>
      <w:r w:rsidRPr="00254DA8">
        <w:rPr>
          <w:rFonts w:ascii="Times New Roman" w:hAnsi="Times New Roman"/>
          <w:sz w:val="20"/>
          <w:szCs w:val="20"/>
        </w:rPr>
        <w:t>“</w:t>
      </w:r>
      <w:r w:rsidRPr="00254DA8">
        <w:rPr>
          <w:rFonts w:ascii="Times New Roman" w:hAnsi="Times New Roman"/>
          <w:i/>
          <w:iCs/>
          <w:sz w:val="20"/>
          <w:szCs w:val="20"/>
        </w:rPr>
        <w:t>En relación con la remisión impropia no existe mayor discusión: en ésta, la supuesta remisión no es más que una complementación de un texto legal con otro del mismo rango, por lo que el principio de legalidad no percibe amenaza alguna: es la voluntad del legislador –que se integra a partir de la integración de varias disposiciones- la que en últimas determina la estructura del tipo.</w:t>
      </w:r>
    </w:p>
    <w:p w:rsidR="00D12A7F" w:rsidRDefault="00CD542C" w:rsidP="00DF40ED">
      <w:pPr>
        <w:pStyle w:val="Textonotapie"/>
        <w:jc w:val="both"/>
      </w:pPr>
      <w:r w:rsidRPr="00254DA8">
        <w:rPr>
          <w:i/>
          <w:iCs/>
        </w:rPr>
        <w:t>En la remisión propia, por el contrario, el dilema adquiere una dimensión distinta: el principio de nullum crimen lulla poena sine lege contiene una referencia directa a la necesidad de que la descripción de la conducta y de la sanción se encuentren contenidas en la ley, entendida ésta en su sentido formal, es decir, como la manifestación de la voluntad del órgano legislativo. Por ello, no deja de levantar suspicacias el hecho de que sea la propia ley -garante del principio- la que, despojándose de su deber descriptivo, entregue a una autoridad distinta la definición de algunos de los elementos del tipo</w:t>
      </w:r>
      <w:r w:rsidRPr="00254DA8">
        <w:t>”.</w:t>
      </w:r>
    </w:p>
  </w:footnote>
  <w:footnote w:id="54">
    <w:p w:rsidR="00D12A7F" w:rsidRDefault="00CD542C" w:rsidP="00DF40ED">
      <w:pPr>
        <w:pStyle w:val="Textonotapie"/>
        <w:jc w:val="both"/>
      </w:pPr>
      <w:r w:rsidRPr="00254DA8">
        <w:rPr>
          <w:rStyle w:val="Refdenotaalpie"/>
        </w:rPr>
        <w:footnoteRef/>
      </w:r>
      <w:r w:rsidRPr="00254DA8">
        <w:t xml:space="preserve"> En la sentencia C-1490 de 2000. M.P. Fabio Morón Díaz la Corte estudió una demanda en contra  de los </w:t>
      </w:r>
      <w:r w:rsidRPr="00254DA8">
        <w:rPr>
          <w:shd w:val="clear" w:color="auto" w:fill="FFFFFF"/>
        </w:rPr>
        <w:t xml:space="preserve">numerales 2 y 4 y el parágrafo del artículo 51; el numeral 2 y el parágrafo del artículo 52; el numeral 2 del artículo 53; y el artículo 55 de la Ley 44 de 1993. </w:t>
      </w:r>
      <w:r w:rsidRPr="00254DA8">
        <w:t xml:space="preserve">Los accionantes aducían, entre varios cargos, que las normas demandadas eran tipos penales en blanco pues utilizaban las expresiones “soporte lógico” y “reproduzca” sin definirlas, ni remitir a otras normas que las definieran. </w:t>
      </w:r>
      <w:r w:rsidRPr="00254DA8">
        <w:rPr>
          <w:b/>
        </w:rPr>
        <w:t xml:space="preserve"> </w:t>
      </w:r>
      <w:r w:rsidRPr="00254DA8">
        <w:t>La Corte reiteró la jurisprudencia de las sentencias C- 599 de 1999 y C- 739 de 2000 en cuanto los tipos penales en blanco no son contrarios a la Carta Política “</w:t>
      </w:r>
      <w:r w:rsidRPr="00254DA8">
        <w:rPr>
          <w:i/>
          <w:shd w:val="clear" w:color="auto" w:fill="FFFFFF"/>
        </w:rPr>
        <w:t>siempre y cuando verifique la existencia de normas jurídicas precedentes que definan y determinen, de manera clara e inequívoca, aquéllos aspectos de los que adolece el precepto en blanco, cuyos contenidos le sirvan efectivamente al intérprete, específicamente al juez penal, para precisar la conducta tipificada como punible, esto es, para realizar una adecuada integración normativa que cumpla con los requisitos que exige la plena realización del principio de legalidad</w:t>
      </w:r>
      <w:r w:rsidRPr="00254DA8">
        <w:rPr>
          <w:shd w:val="clear" w:color="auto" w:fill="FFFFFF"/>
        </w:rPr>
        <w:t>.”</w:t>
      </w:r>
      <w:r w:rsidRPr="00254DA8">
        <w:t xml:space="preserve"> Luego, concluyó que el tipo penal era completo pues las normas contienen un precepto y una sanción, los </w:t>
      </w:r>
      <w:r w:rsidRPr="00254DA8">
        <w:rPr>
          <w:b/>
          <w:bCs/>
        </w:rPr>
        <w:t>verbos rectores son precisos</w:t>
      </w:r>
      <w:r w:rsidRPr="00254DA8">
        <w:t xml:space="preserve"> y las demás expresiones deben entenderse de acuerdo con las definiciones legales y el uso común que se les otorga. Frente al cargo contra la expresión “soporte técnico” encontró que en decisiones y decretos se ha definido el concepto, y en caso de que no existiera tal definición previa, </w:t>
      </w:r>
      <w:r w:rsidRPr="00254DA8">
        <w:rPr>
          <w:i/>
        </w:rPr>
        <w:t>“l</w:t>
      </w:r>
      <w:r w:rsidRPr="00254DA8">
        <w:rPr>
          <w:i/>
          <w:bdr w:val="none" w:sz="0" w:space="0" w:color="auto" w:frame="1"/>
          <w:shd w:val="clear" w:color="auto" w:fill="FFFFFF"/>
        </w:rPr>
        <w:t>os tipos penales impugnados tampoco requerirían de tal remisión para adquirir sentido, pues las mismas pueden entenderse de acuerdo con el uso común que se les da, tal como lo establece</w:t>
      </w:r>
      <w:bookmarkStart w:id="1" w:name="_ftnref16"/>
      <w:r w:rsidRPr="00254DA8">
        <w:rPr>
          <w:i/>
          <w:bdr w:val="none" w:sz="0" w:space="0" w:color="auto" w:frame="1"/>
          <w:shd w:val="clear" w:color="auto" w:fill="FFFFFF"/>
        </w:rPr>
        <w:t xml:space="preserve"> el artículo 28 del Código Civ</w:t>
      </w:r>
      <w:bookmarkEnd w:id="1"/>
      <w:r w:rsidRPr="00254DA8">
        <w:rPr>
          <w:i/>
          <w:bdr w:val="none" w:sz="0" w:space="0" w:color="auto" w:frame="1"/>
        </w:rPr>
        <w:t>il,</w:t>
      </w:r>
      <w:r w:rsidRPr="00254DA8">
        <w:rPr>
          <w:i/>
          <w:bdr w:val="none" w:sz="0" w:space="0" w:color="auto" w:frame="1"/>
          <w:shd w:val="clear" w:color="auto" w:fill="FFFFFF"/>
        </w:rPr>
        <w:t xml:space="preserve"> dado que el hecho de que sean de carácter técnico no implica, necesariamente, que sean ajenas a una definición en el lenguaje cotidiano.” </w:t>
      </w:r>
      <w:r w:rsidRPr="00254DA8">
        <w:rPr>
          <w:bdr w:val="none" w:sz="0" w:space="0" w:color="auto" w:frame="1"/>
          <w:shd w:val="clear" w:color="auto" w:fill="FFFFFF"/>
        </w:rPr>
        <w:t xml:space="preserve">En relación con el concepto de “reproduzca” contenido en las disposiciones acusadas, la Corte sostuvo que éste era claro y precisó. Puntualizó que para derivar responsabilidad penal de dicha conducta era necesario demostrara la concurrencia de los elementos de tipicidad, antijuridicidad y culpabilidad. </w:t>
      </w:r>
      <w:r w:rsidRPr="00254DA8">
        <w:t>En ese sentido, frente al cargo por posible violación del principio de legalidad, las normas fueron declaradas exequibles.</w:t>
      </w:r>
    </w:p>
  </w:footnote>
  <w:footnote w:id="55">
    <w:p w:rsidR="00D12A7F" w:rsidRDefault="00CD542C" w:rsidP="00DF40ED">
      <w:pPr>
        <w:pStyle w:val="Textonotapie"/>
        <w:jc w:val="both"/>
      </w:pPr>
      <w:r w:rsidRPr="00254DA8">
        <w:rPr>
          <w:rStyle w:val="Refdenotaalpie"/>
        </w:rPr>
        <w:footnoteRef/>
      </w:r>
      <w:r w:rsidRPr="00254DA8">
        <w:t xml:space="preserve"> Sentencia C-605 de 2006. M.P. Marco Gerardo Monroy Cabra; Sentencia C-121 de 2012 M.P. Luis Ernesto Vargas Silva.</w:t>
      </w:r>
    </w:p>
  </w:footnote>
  <w:footnote w:id="56">
    <w:p w:rsidR="00D12A7F" w:rsidRDefault="00CD542C" w:rsidP="00DF40ED">
      <w:pPr>
        <w:pStyle w:val="Textonotapie"/>
        <w:jc w:val="both"/>
      </w:pPr>
      <w:r w:rsidRPr="00254DA8">
        <w:rPr>
          <w:rStyle w:val="Refdenotaalpie"/>
        </w:rPr>
        <w:footnoteRef/>
      </w:r>
      <w:r w:rsidRPr="00254DA8">
        <w:t xml:space="preserve"> M.P. Humberto Antonio Sierra Porto. Estos criterios fueron reiterados en la Sentencia C-121 de 2012 M.P. Luis Ernesto Vargas Silva y Sentencia C-501 de 2014 M.P. Luis Guillermo Guerrero Pérez.</w:t>
      </w:r>
    </w:p>
  </w:footnote>
  <w:footnote w:id="57">
    <w:p w:rsidR="00D12A7F" w:rsidRDefault="00CD542C" w:rsidP="00DF40ED">
      <w:pPr>
        <w:pStyle w:val="Textonotapie"/>
        <w:jc w:val="both"/>
      </w:pPr>
      <w:r w:rsidRPr="00254DA8">
        <w:rPr>
          <w:rStyle w:val="Refdenotaalpie"/>
        </w:rPr>
        <w:footnoteRef/>
      </w:r>
      <w:r w:rsidRPr="00254DA8">
        <w:t xml:space="preserve"> </w:t>
      </w:r>
      <w:r w:rsidRPr="00254DA8">
        <w:rPr>
          <w:lang w:val="es-CO"/>
        </w:rPr>
        <w:t>Sentencia C-442 de 2011 M.P. Humberto Antonio Sierra Porto.</w:t>
      </w:r>
    </w:p>
  </w:footnote>
  <w:footnote w:id="58">
    <w:p w:rsidR="00CD542C" w:rsidRPr="00114D98" w:rsidRDefault="00CD542C" w:rsidP="00DF40ED">
      <w:pPr>
        <w:pStyle w:val="Textonotapie"/>
        <w:jc w:val="both"/>
        <w:rPr>
          <w:i/>
          <w:iCs/>
          <w:lang w:val="es-CO"/>
        </w:rPr>
      </w:pPr>
      <w:r w:rsidRPr="00254DA8">
        <w:rPr>
          <w:rStyle w:val="Refdenotaalpie"/>
        </w:rPr>
        <w:footnoteRef/>
      </w:r>
      <w:r w:rsidRPr="00254DA8">
        <w:t xml:space="preserve"> </w:t>
      </w:r>
      <w:r w:rsidRPr="00254DA8">
        <w:rPr>
          <w:lang w:val="es-CO"/>
        </w:rPr>
        <w:t>Sentencia C-121 de 2012</w:t>
      </w:r>
      <w:r>
        <w:rPr>
          <w:lang w:val="es-CO"/>
        </w:rPr>
        <w:t xml:space="preserve"> M.P. Luis Ernesto Vargas Silva: “</w:t>
      </w:r>
      <w:r w:rsidRPr="00114D98">
        <w:rPr>
          <w:i/>
          <w:iCs/>
          <w:lang w:val="es-CO"/>
        </w:rPr>
        <w:t>16. En conclusión, la jurisprudencia ha reconocido un amplio espacio de configuración legislativa en orden a determinar que bienes jurídicos son susceptibles de protección penal, las conductas que deben ser objeto de sanción, y las modalidades y la cuantía de la pena.  No obstante, debe tratarse de una prerrogativa sujeta a límites. Estos límites están dados fundamentalmente por el respeto a los derechos constitucionales de los asociados, el deber de respetar el principio de legalidad estricta, y los criterios de razonabilidad, proporcionalidad, aplicables tanto a la definición del tipo penal como a la sanción imponible. Dentro de las garantías que involucra el principio de legalidad estricta se encuentra la prohibición de delitos y penas indeterminadas. En relación con este aspecto se han estudiado los tipos penales en blanco, respecto de los cuales la jurisprudencia ha admitido su constitucionalidad siempre y cuando la remisión normativa permita al intérprete determinar inequívocamente el alcance de la conducta penalizada y la sanción correspondiente.</w:t>
      </w:r>
    </w:p>
    <w:p w:rsidR="00D12A7F" w:rsidRDefault="00CD542C" w:rsidP="00DF40ED">
      <w:pPr>
        <w:pStyle w:val="Textonotapie"/>
        <w:jc w:val="both"/>
      </w:pPr>
      <w:r w:rsidRPr="00114D98">
        <w:rPr>
          <w:i/>
          <w:iCs/>
          <w:lang w:val="es-CO"/>
        </w:rPr>
        <w:t>Dentro de los límites constitucionales que se imponen al legislador para el ejercicio de la potestad de configuración de los delitos y de las penas, se encuentra también el debido proceso (Art. 29), y como una garantía a él adscrita la prohibición de doble incriminación, a la que se hará referencia a continuación</w:t>
      </w:r>
      <w:r>
        <w:rPr>
          <w:lang w:val="es-CO"/>
        </w:rPr>
        <w:t>”; Sentencia C-442 de 2011 M.P. Humberto Antonio Sierra Porto.</w:t>
      </w:r>
    </w:p>
  </w:footnote>
  <w:footnote w:id="59">
    <w:p w:rsidR="00D12A7F" w:rsidRDefault="00CD542C" w:rsidP="00E60C8C">
      <w:pPr>
        <w:pStyle w:val="Textonotapie"/>
        <w:jc w:val="both"/>
      </w:pPr>
      <w:r w:rsidRPr="001879B8">
        <w:rPr>
          <w:rStyle w:val="Refdenotaalpie"/>
        </w:rPr>
        <w:footnoteRef/>
      </w:r>
      <w:r w:rsidRPr="001879B8">
        <w:t xml:space="preserve"> Sentencia C-059 de 2005 M.P. Clara Inés Vargas Hernández. En la sentencia, la Corte Constitucional revisó la constitucionalidad de la competencia del juez de paz y el conciliador en equidad </w:t>
      </w:r>
      <w:r>
        <w:t xml:space="preserve">de mediar </w:t>
      </w:r>
      <w:r w:rsidRPr="001879B8">
        <w:t>para que cese la violencia intrafamiliar y trámite una audiencia de conciliación y la posibilidad de solicitar medidas de protección en los 30 días siguientes a la agresión contenidas en los artículos 1 y 5 de la Ley 575 de 2000 que reformó la Ley 294 de 1996 por violación de la protección a la familia, a la mujer y los menores de edad reconocida en los artículos 42, 43 y 44 de la Constitución de acuerdo con los cuales sólo los jueces que fallan en derecho pueden conocer de vasos de violencia intrafamiliar y como un delito que comprende la afrenta a derechos humanos requiere de la intervención de la jurisdicción ordinaria. A su vez, se revisó si la medida que confiere un término de 30 días para solicitar una medida de protección viola los mismos artículos pues deja en desprotección a la mujer y a los niños y niega el acceso efectivo a la administración de justicia. La Corte declaró la constitucionalidad de las normas, en lo acusado, por considerar que la determinación de las funciones del juez de paz hacía parte del margen de configuración del Legislador y el plazo para la solicitud era razonable.  “</w:t>
      </w:r>
      <w:r w:rsidRPr="001879B8">
        <w:rPr>
          <w:i/>
          <w:iCs/>
        </w:rPr>
        <w:t>Dada las dimensiones y trascendencia de este fenómeno sistemático que socava la institución básica de la sociedad, al considerársele destructiva de su armonía y unidad, en el concierto internacional los Estados han aprobado distintos instrumentos que proscriben cualquier tipo de violencia, incluyendo por supuesto la que se produce en el núcleo familiar, así como otros orientados a proteger contra ella sujetos especiales. Es así como en relación con los niños, la Convención Internacional de los Derechos del Niño  en su artículo 19 dispone (…)  En consonancia con los mencionados instrumentos internacionales, nuestra Constitución en el artículo 42 dispone que el Estado y la sociedad garantizan la protección integral de la familia, y de manera perentoria establece que  cualquier forma de violencia en la familia se considera destructiva de su armonía y unidad y será sancionada conforme a la ley. Quiso de esta forma el Constituyente, consagrar un amparo especial a la familia, protegiendo su unidad, dignidad y honra, por ser ella la célula fundamental de la organización socio-política y presupuesto de su existencia. También, quiso el constituyente otorgar una protección especial y prevalente a los niños y niñas, para lo cual consagró expresamente que sus derechos son fundamentales, entre ellos los derechos a tener una familia y a no ser separados de ella, y al cuidado y al amos; además se consagró que serán protegidos, entre otros, contra toda forma de violencia física o moral, y abuso sexual</w:t>
      </w:r>
      <w:r w:rsidRPr="001879B8">
        <w:t>”.</w:t>
      </w:r>
    </w:p>
  </w:footnote>
  <w:footnote w:id="60">
    <w:p w:rsidR="00D12A7F" w:rsidRDefault="00CD542C" w:rsidP="00E60C8C">
      <w:pPr>
        <w:pStyle w:val="Textonotapie"/>
        <w:jc w:val="both"/>
      </w:pPr>
      <w:r w:rsidRPr="001879B8">
        <w:rPr>
          <w:vertAlign w:val="superscript"/>
        </w:rPr>
        <w:footnoteRef/>
      </w:r>
      <w:r w:rsidRPr="001879B8">
        <w:t xml:space="preserve"> Sentencia T-719 de 2003 M.P. Manuel José Cepeda Espinosa.</w:t>
      </w:r>
    </w:p>
  </w:footnote>
  <w:footnote w:id="61">
    <w:p w:rsidR="00D12A7F" w:rsidRDefault="00CD542C" w:rsidP="00E60C8C">
      <w:pPr>
        <w:pStyle w:val="Textonotapie"/>
        <w:jc w:val="both"/>
      </w:pPr>
      <w:r w:rsidRPr="001879B8">
        <w:rPr>
          <w:rStyle w:val="Refdenotaalpie"/>
        </w:rPr>
        <w:footnoteRef/>
      </w:r>
      <w:r w:rsidRPr="001879B8">
        <w:t xml:space="preserve"> Sentencia T-719 de 2003 M.P. Manuel José Cepeda Espinosa; Sentencia T-234 de 2012 M.P. Gabriel Eduardo Mendoza Martelo</w:t>
      </w:r>
    </w:p>
  </w:footnote>
  <w:footnote w:id="62">
    <w:p w:rsidR="00D12A7F" w:rsidRDefault="00CD542C" w:rsidP="00E60C8C">
      <w:pPr>
        <w:pStyle w:val="Textonotapie"/>
        <w:jc w:val="both"/>
      </w:pPr>
      <w:r w:rsidRPr="001879B8">
        <w:rPr>
          <w:rStyle w:val="Refdenotaalpie"/>
        </w:rPr>
        <w:footnoteRef/>
      </w:r>
      <w:r w:rsidRPr="001879B8">
        <w:t xml:space="preserve"> El derecho a la seguridad personal se encuentra reconocido expresamente en el artículo 7 de la Convención Americana de Derechos Humanos y en el artículo 9 del Pacto Internacional de Derechos Civiles y Políticos de Naciones Unidas, que hacen parte del bloque de constitucionalidad en sentido estricto. </w:t>
      </w:r>
    </w:p>
  </w:footnote>
  <w:footnote w:id="63">
    <w:p w:rsidR="00D12A7F" w:rsidRDefault="00CD542C" w:rsidP="00E60C8C">
      <w:pPr>
        <w:pStyle w:val="Textonotapie"/>
        <w:jc w:val="both"/>
      </w:pPr>
      <w:r w:rsidRPr="001879B8">
        <w:rPr>
          <w:rStyle w:val="Refdenotaalpie"/>
        </w:rPr>
        <w:footnoteRef/>
      </w:r>
      <w:r w:rsidRPr="001879B8">
        <w:t xml:space="preserve"> Comité de la CEDAW de Naciones Unidas, Recomendación General No. 19: La violencia contra la mujer, Documento ONU A/47/38. 1992; Declaración sobre la eliminación de la violencia contra la mujer de Naciones Unidas, 1993; Auto 092 de 2008 M.P. Manuel José Cepeda Espinosa: “</w:t>
      </w:r>
      <w:r w:rsidRPr="001879B8">
        <w:rPr>
          <w:i/>
          <w:iCs/>
        </w:rPr>
        <w:t>III.4.3. Toda mujer tiene derecho a vivir libre de violencia.  La violencia contra la mujer es “una violación de los derechos humanos y las libertades</w:t>
      </w:r>
      <w:r w:rsidRPr="001879B8">
        <w:t xml:space="preserve"> </w:t>
      </w:r>
      <w:r w:rsidRPr="001879B8">
        <w:rPr>
          <w:i/>
          <w:iCs/>
        </w:rPr>
        <w:t>fundamentales” que “limita total o parcialmente a la mujer el reconocimiento, goce y ejercicio de tales derechos y libertades” ; se trata de “una ofensa a la dignidad humana y una manifestación de las relaciones de poder históricamente desiguales entre mujeres y hombres” , cuya eliminación es “condición indispensable para su desarrollo individual y social y su plena e igualitaria participación en todas las esferas de vida” . La violencia contra la mujer constituye, a la vez, una manifestación grave de la discriminación de género, que apareja violaciones sustanciales, entre otros, de los derechos a la vida; al respeto por la dignidad de su persona; a la integridad personal –física, psicológica y moral- y a verse libre de torturas y tratos o penas crueles, inhumanos o degradantes; a la libertad y seguridad personales; y a la igualdad.  La proscripción jurídica de la violencia contra la mujer implica claras obligaciones estatales de prevención y atención a las víctimas, de índole constitucional e internacional</w:t>
      </w:r>
      <w:r w:rsidRPr="001879B8">
        <w:t xml:space="preserve">”.  Sentencia C-335 de 2013 M.P. Jorge Ignacio Pretelt Chaljub; Auto 009 de 2015 M.P. Luis Ernesto Vargas Silva.  </w:t>
      </w:r>
    </w:p>
  </w:footnote>
  <w:footnote w:id="64">
    <w:p w:rsidR="00D12A7F" w:rsidRDefault="00CD542C" w:rsidP="00E60C8C">
      <w:pPr>
        <w:pStyle w:val="Textonotapie"/>
        <w:jc w:val="both"/>
      </w:pPr>
      <w:r w:rsidRPr="001879B8">
        <w:rPr>
          <w:rStyle w:val="Refdenotaalpie"/>
        </w:rPr>
        <w:footnoteRef/>
      </w:r>
      <w:r w:rsidRPr="001879B8">
        <w:t xml:space="preserve"> Ver por ejemplo sentencias C-335 de 2013 M.P. Jorge Ignacio Pretlt Chaljub; C-371 de 2000 M.P. Carlos Gaviria Díaz; C-507 de 2004 M.P. Manuel José Cepeda Espinosa; C-540 de 2008, M.P. Humberto Antonio Sierra Porto.</w:t>
      </w:r>
    </w:p>
  </w:footnote>
  <w:footnote w:id="65">
    <w:p w:rsidR="00D12A7F" w:rsidRDefault="00CD542C" w:rsidP="00E60C8C">
      <w:pPr>
        <w:pStyle w:val="Textonotapie"/>
      </w:pPr>
      <w:r w:rsidRPr="001879B8">
        <w:rPr>
          <w:rStyle w:val="Refdenotaalpie"/>
        </w:rPr>
        <w:footnoteRef/>
      </w:r>
      <w:r w:rsidRPr="001879B8">
        <w:t xml:space="preserve"> Sentencia C-285 de 1997 M.P. Carlos Gaviria Díaz.</w:t>
      </w:r>
    </w:p>
  </w:footnote>
  <w:footnote w:id="66">
    <w:p w:rsidR="00D12A7F" w:rsidRDefault="00CD542C" w:rsidP="00E60C8C">
      <w:pPr>
        <w:pStyle w:val="Textonotapie"/>
        <w:jc w:val="both"/>
      </w:pPr>
      <w:r w:rsidRPr="001879B8">
        <w:rPr>
          <w:rStyle w:val="Refdenotaalpie"/>
        </w:rPr>
        <w:footnoteRef/>
      </w:r>
      <w:r w:rsidRPr="001879B8">
        <w:t xml:space="preserve"> Corte Interamericana de Derechos Humanos, Caso González y Otras (“Campo Algodonero”) vs. México. Excepción preliminar, fondo, reparaciones y costas. Sentencia de 16 de noviembre de 2009. Serie C No 205. En el caso, la Corte IDH estableció que el fundamento de la violencia extrema y sistemática contra las mujeres en Ciudad Juárez era discriminación. </w:t>
      </w:r>
    </w:p>
  </w:footnote>
  <w:footnote w:id="67">
    <w:p w:rsidR="00D12A7F" w:rsidRDefault="00CD542C" w:rsidP="00E60C8C">
      <w:pPr>
        <w:pStyle w:val="Textonotapie"/>
        <w:jc w:val="both"/>
      </w:pPr>
      <w:r w:rsidRPr="001879B8">
        <w:rPr>
          <w:rStyle w:val="Refdenotaalpie"/>
        </w:rPr>
        <w:footnoteRef/>
      </w:r>
      <w:r w:rsidRPr="001879B8">
        <w:t xml:space="preserve"> </w:t>
      </w:r>
      <w:r w:rsidRPr="001879B8">
        <w:rPr>
          <w:lang w:val="es-CO"/>
        </w:rPr>
        <w:t xml:space="preserve">La </w:t>
      </w:r>
      <w:r w:rsidRPr="001879B8">
        <w:rPr>
          <w:lang w:val="es-CR"/>
        </w:rPr>
        <w:t>Declaración Universal de Derechos Humanos en sus artículos 1, 2 y 7 reconoce que todos los seres humanos son iguales y se deben proteger sin distinción por el sexo y sin discriminación; el Pacto Internacional de Derechos Civiles y Políticos de Naciones Unidas reconoce en su preámbulos la dignidad de todos los seres humanos y en los artículos 6 y 7 los derechos a la vida y a estar libre de tratos crueles inhumanos y degradantes.</w:t>
      </w:r>
    </w:p>
  </w:footnote>
  <w:footnote w:id="68">
    <w:p w:rsidR="00D12A7F" w:rsidRDefault="00CD542C" w:rsidP="00E60C8C">
      <w:pPr>
        <w:pStyle w:val="Textonotapie"/>
        <w:jc w:val="both"/>
      </w:pPr>
      <w:r w:rsidRPr="001879B8">
        <w:rPr>
          <w:rStyle w:val="Refdenotaalpie"/>
        </w:rPr>
        <w:footnoteRef/>
      </w:r>
      <w:r w:rsidRPr="001879B8">
        <w:t xml:space="preserve"> </w:t>
      </w:r>
      <w:r w:rsidRPr="001879B8">
        <w:rPr>
          <w:lang w:val="es-CR"/>
        </w:rPr>
        <w:t xml:space="preserve">El Pacto Internacional de Derechos Civiles y Políticos de Naciones Unidas en sus artículos 3 y 26 establece la obligación de garantía y protección de todos los derechos reconocidos en el Pacto sin distinción en razón al sexo así como la prohibición de la discriminación; La </w:t>
      </w:r>
      <w:r w:rsidRPr="001879B8">
        <w:t>Convención Americana sobre Derechos Humanos en sus artículos 1 y 24 establecen la protección de los derechos reconocidos en la Convención sin discriminación por motivos de sexo y en condiciones de igualdad ante la ley.</w:t>
      </w:r>
    </w:p>
  </w:footnote>
  <w:footnote w:id="69">
    <w:p w:rsidR="00D12A7F" w:rsidRDefault="00CD542C" w:rsidP="00E60C8C">
      <w:pPr>
        <w:pStyle w:val="Textonotapie"/>
        <w:jc w:val="both"/>
      </w:pPr>
      <w:r w:rsidRPr="001879B8">
        <w:rPr>
          <w:rStyle w:val="Refdenotaalpie"/>
        </w:rPr>
        <w:footnoteRef/>
      </w:r>
      <w:r w:rsidRPr="001879B8">
        <w:t xml:space="preserve"> Convención Interamericana para Prevenir,  Sancionar y Erradicar la Violencia contra la Mujer, “Convención de Belém do Pará”, aprobada por la Ley 248 del 29 de 1995, artículo 1.</w:t>
      </w:r>
    </w:p>
  </w:footnote>
  <w:footnote w:id="70">
    <w:p w:rsidR="00D12A7F" w:rsidRDefault="00CD542C" w:rsidP="00E60C8C">
      <w:pPr>
        <w:pStyle w:val="Textonotapie"/>
        <w:jc w:val="both"/>
      </w:pPr>
      <w:r w:rsidRPr="001879B8">
        <w:rPr>
          <w:rStyle w:val="Refdenotaalpie"/>
        </w:rPr>
        <w:footnoteRef/>
      </w:r>
      <w:r w:rsidRPr="001879B8">
        <w:t xml:space="preserve"> Convención de Belém do Pará. Artículo 3. “Toda mujer tiene derecho a una vida libre de violencia, tanto en el ámbito público como en el privado”.</w:t>
      </w:r>
    </w:p>
  </w:footnote>
  <w:footnote w:id="71">
    <w:p w:rsidR="00D12A7F" w:rsidRDefault="00CD542C" w:rsidP="00E60C8C">
      <w:pPr>
        <w:pStyle w:val="Textonotapie"/>
        <w:jc w:val="both"/>
      </w:pPr>
      <w:r w:rsidRPr="001879B8">
        <w:rPr>
          <w:rStyle w:val="Refdenotaalpie"/>
        </w:rPr>
        <w:footnoteRef/>
      </w:r>
      <w:r w:rsidRPr="001879B8">
        <w:t xml:space="preserve"> Convención de Belém do Pará. Artículo 5. “</w:t>
      </w:r>
      <w:r w:rsidRPr="001879B8">
        <w:rPr>
          <w:i/>
          <w:iCs/>
        </w:rPr>
        <w:t>Toda mujer podrá ejercer libre y plenamente sus derechos civiles, políticos, económicos, sociales y culturales y contará con la total protección de esos derechos consagrados en los instrumentos regionales e internacionales sobre derechos humanos.  Los Estados Partes reconocen que la violencia contra la mujer impide y anula el ejercicio de esos derechos</w:t>
      </w:r>
      <w:r w:rsidRPr="001879B8">
        <w:t>”.</w:t>
      </w:r>
    </w:p>
  </w:footnote>
  <w:footnote w:id="72">
    <w:p w:rsidR="00D12A7F" w:rsidRDefault="00CD542C" w:rsidP="00E60C8C">
      <w:pPr>
        <w:pStyle w:val="Textonotapie"/>
        <w:jc w:val="both"/>
      </w:pPr>
      <w:r w:rsidRPr="001879B8">
        <w:rPr>
          <w:rStyle w:val="Refdenotaalpie"/>
        </w:rPr>
        <w:footnoteRef/>
      </w:r>
      <w:r w:rsidRPr="001879B8">
        <w:t xml:space="preserve"> Convención Interamericana para Prevenir,  Sancionar y Erradicar la Violencia contra la Mujer, “Convención de Belém do Pará”, aprobada por la Ley 248 del 29 de 1995, artículo 7.</w:t>
      </w:r>
    </w:p>
  </w:footnote>
  <w:footnote w:id="73">
    <w:p w:rsidR="00CD542C" w:rsidRPr="001879B8" w:rsidRDefault="00CD542C" w:rsidP="00E60C8C">
      <w:pPr>
        <w:pStyle w:val="Textonotapie"/>
        <w:jc w:val="both"/>
        <w:rPr>
          <w:i/>
          <w:iCs/>
        </w:rPr>
      </w:pPr>
      <w:r w:rsidRPr="001879B8">
        <w:rPr>
          <w:rStyle w:val="Refdenotaalpie"/>
        </w:rPr>
        <w:footnoteRef/>
      </w:r>
      <w:r w:rsidRPr="001879B8">
        <w:t xml:space="preserve"> Convención Interamericana para Prevenir,  Sancionar y Erradicar la Violencia contra la Mujer, “Convención de Belém do Pará”, aprobada por la Ley 248 del 29 de 1995, artículo 8. “</w:t>
      </w:r>
      <w:r w:rsidRPr="001879B8">
        <w:rPr>
          <w:i/>
          <w:iCs/>
        </w:rPr>
        <w:t>Los Estados Partes convienen en adoptar, en forma progresiva, medidas específicas, inclusive programas para:</w:t>
      </w:r>
    </w:p>
    <w:p w:rsidR="00CD542C" w:rsidRPr="001879B8" w:rsidRDefault="00CD542C" w:rsidP="00E60C8C">
      <w:pPr>
        <w:pStyle w:val="Textonotapie"/>
        <w:jc w:val="both"/>
        <w:rPr>
          <w:i/>
          <w:iCs/>
        </w:rPr>
      </w:pPr>
      <w:r w:rsidRPr="001879B8">
        <w:rPr>
          <w:i/>
          <w:iCs/>
        </w:rPr>
        <w:t xml:space="preserve"> a. fomentar el conocimiento y la observancia del derecho de la mujer a una vida libre de violencia, y el derecho de la mujer a que se respeten y protejan sus derechos humanos;</w:t>
      </w:r>
    </w:p>
    <w:p w:rsidR="00CD542C" w:rsidRPr="001879B8" w:rsidRDefault="00CD542C" w:rsidP="00E60C8C">
      <w:pPr>
        <w:pStyle w:val="Textonotapie"/>
        <w:jc w:val="both"/>
        <w:rPr>
          <w:i/>
          <w:iCs/>
        </w:rPr>
      </w:pPr>
      <w:r w:rsidRPr="001879B8">
        <w:rPr>
          <w:i/>
          <w:iCs/>
        </w:rPr>
        <w:t xml:space="preserve"> b. modificar los patrones socioculturales de conducta de hombres y mujeres, incluyendo el diseño de programas de educación formales y no formales apropiados a todo nivel del proceso educativo, para contrarrestar prejuicios y costumbres y todo otro tipo de prácticas que se basen en la premisa de la inferioridad o superioridad de cualquiera de los géneros o en los papeles estereotipados para el hombre y la mujer que legitimizan o exacerban la violencia contra la mujer;</w:t>
      </w:r>
    </w:p>
    <w:p w:rsidR="00CD542C" w:rsidRPr="001879B8" w:rsidRDefault="00CD542C" w:rsidP="00E60C8C">
      <w:pPr>
        <w:pStyle w:val="Textonotapie"/>
        <w:jc w:val="both"/>
        <w:rPr>
          <w:i/>
          <w:iCs/>
        </w:rPr>
      </w:pPr>
      <w:r w:rsidRPr="001879B8">
        <w:rPr>
          <w:i/>
          <w:iCs/>
        </w:rPr>
        <w:t xml:space="preserve"> c. fomentar la educación y capacitación del personal en la administración de justicia, policial y demás funcionarios encargados de la aplicación de la ley, así como del personal a cuyo cargo esté la aplicación de las políticas de prevención, sanción y eliminación de la violencia contra la mujer;</w:t>
      </w:r>
    </w:p>
    <w:p w:rsidR="00CD542C" w:rsidRPr="001879B8" w:rsidRDefault="00CD542C" w:rsidP="00E60C8C">
      <w:pPr>
        <w:pStyle w:val="Textonotapie"/>
        <w:jc w:val="both"/>
        <w:rPr>
          <w:i/>
          <w:iCs/>
        </w:rPr>
      </w:pPr>
      <w:r w:rsidRPr="001879B8">
        <w:rPr>
          <w:i/>
          <w:iCs/>
        </w:rPr>
        <w:t xml:space="preserve"> d. suministrar los servicios especializados apropiados para la atención necesaria a la mujer objeto de violencia, por medio de entidades de los sectores público y privado, inclusive refugios, servicios de orientación para toda la familia, cuando sea del caso, y cuidado y custodia de los menores afectados;</w:t>
      </w:r>
    </w:p>
    <w:p w:rsidR="00CD542C" w:rsidRPr="001879B8" w:rsidRDefault="00CD542C" w:rsidP="00E60C8C">
      <w:pPr>
        <w:pStyle w:val="Textonotapie"/>
        <w:jc w:val="both"/>
        <w:rPr>
          <w:i/>
          <w:iCs/>
        </w:rPr>
      </w:pPr>
      <w:r w:rsidRPr="001879B8">
        <w:rPr>
          <w:i/>
          <w:iCs/>
        </w:rPr>
        <w:t xml:space="preserve"> e. fomentar y apoyar programas de educación gubernamentales y del sector privado destinados a concientizar al público sobre los problemas relacionados con la violencia contra la mujer, los recursos legales y la reparación que corresponda;</w:t>
      </w:r>
    </w:p>
    <w:p w:rsidR="00CD542C" w:rsidRPr="001879B8" w:rsidRDefault="00CD542C" w:rsidP="00E60C8C">
      <w:pPr>
        <w:pStyle w:val="Textonotapie"/>
        <w:jc w:val="both"/>
        <w:rPr>
          <w:i/>
          <w:iCs/>
        </w:rPr>
      </w:pPr>
      <w:r w:rsidRPr="001879B8">
        <w:rPr>
          <w:i/>
          <w:iCs/>
        </w:rPr>
        <w:t xml:space="preserve"> f. ofrecer a la mujer objeto de violencia acceso a programas eficaces de rehabilitación y capacitación que le permitan participar plenamente en la vida pública, privada y social;</w:t>
      </w:r>
    </w:p>
    <w:p w:rsidR="00CD542C" w:rsidRPr="001879B8" w:rsidRDefault="00CD542C" w:rsidP="00E60C8C">
      <w:pPr>
        <w:pStyle w:val="Textonotapie"/>
        <w:jc w:val="both"/>
        <w:rPr>
          <w:i/>
          <w:iCs/>
        </w:rPr>
      </w:pPr>
      <w:r w:rsidRPr="001879B8">
        <w:rPr>
          <w:i/>
          <w:iCs/>
        </w:rPr>
        <w:t xml:space="preserve"> g. alentar a los medios de comunicación a elaborar directrices adecuadas de difusión que contribuyan a erradicar la violencia contra la mujer en todas sus formas y a realzar el respeto a la dignidad de la mujer;</w:t>
      </w:r>
    </w:p>
    <w:p w:rsidR="00CD542C" w:rsidRPr="001879B8" w:rsidRDefault="00CD542C" w:rsidP="00E60C8C">
      <w:pPr>
        <w:pStyle w:val="Textonotapie"/>
        <w:jc w:val="both"/>
        <w:rPr>
          <w:i/>
          <w:iCs/>
        </w:rPr>
      </w:pPr>
      <w:r w:rsidRPr="001879B8">
        <w:rPr>
          <w:i/>
          <w:iCs/>
        </w:rPr>
        <w:t xml:space="preserve"> h. garantizar la investigación y recopilación de estadísticas y demás información pertinente sobre las causas, consecuencias y frecuencia de la violencia contra la mujer, con el fin de evaluar la eficacia de las medidas para prevenir, sancionar y eliminar la violencia contra la mujer y de formular y aplicar los cambios que sean necesarios, y</w:t>
      </w:r>
    </w:p>
    <w:p w:rsidR="00D12A7F" w:rsidRDefault="00CD542C" w:rsidP="00E60C8C">
      <w:pPr>
        <w:pStyle w:val="Textonotapie"/>
        <w:jc w:val="both"/>
      </w:pPr>
      <w:r w:rsidRPr="001879B8">
        <w:rPr>
          <w:i/>
          <w:iCs/>
        </w:rPr>
        <w:t xml:space="preserve"> i. promover la cooperación internacional para el intercambio de ideas y experiencias y la ejecución de programas encaminados a proteger a la mujer objeto de violencia</w:t>
      </w:r>
      <w:r w:rsidRPr="001879B8">
        <w:t>”.</w:t>
      </w:r>
    </w:p>
  </w:footnote>
  <w:footnote w:id="74">
    <w:p w:rsidR="00D12A7F" w:rsidRDefault="00CD542C" w:rsidP="00E60C8C">
      <w:pPr>
        <w:pStyle w:val="Textonotapie"/>
        <w:jc w:val="both"/>
      </w:pPr>
      <w:r w:rsidRPr="001879B8">
        <w:rPr>
          <w:rStyle w:val="Refdenotaalpie"/>
        </w:rPr>
        <w:footnoteRef/>
      </w:r>
      <w:r w:rsidRPr="001879B8">
        <w:t xml:space="preserve"> Comité de la CEDAW de Naciones Unidas, Recomendación General No. 19: La violencia contra la mujer, Documento ONU A/47/38. 1992.</w:t>
      </w:r>
    </w:p>
  </w:footnote>
  <w:footnote w:id="75">
    <w:p w:rsidR="00D12A7F" w:rsidRDefault="00CD542C" w:rsidP="00E60C8C">
      <w:pPr>
        <w:pStyle w:val="Textonotapie"/>
        <w:jc w:val="both"/>
      </w:pPr>
      <w:r w:rsidRPr="001879B8">
        <w:rPr>
          <w:rStyle w:val="Refdenotaalpie"/>
        </w:rPr>
        <w:footnoteRef/>
      </w:r>
      <w:r w:rsidRPr="001879B8">
        <w:t xml:space="preserve"> Comité de la CEDAW de Naciones Unidas, Recomendación General No. 19: La violencia contra la mujer, Documento ONU A/47/38. 1992.</w:t>
      </w:r>
    </w:p>
  </w:footnote>
  <w:footnote w:id="76">
    <w:p w:rsidR="00D12A7F" w:rsidRDefault="00CD542C" w:rsidP="00E60C8C">
      <w:pPr>
        <w:pStyle w:val="Textonotapie"/>
        <w:jc w:val="both"/>
      </w:pPr>
      <w:r w:rsidRPr="001879B8">
        <w:rPr>
          <w:rStyle w:val="Refdenotaalpie"/>
        </w:rPr>
        <w:footnoteRef/>
      </w:r>
      <w:r w:rsidRPr="001879B8">
        <w:t xml:space="preserve"> Comité de la CEDAW de Naciones Unidas, Recomendación General No. 19: La violencia contra la mujer, Documento ONU A/47/38. 1992.</w:t>
      </w:r>
    </w:p>
  </w:footnote>
  <w:footnote w:id="77">
    <w:p w:rsidR="00D12A7F" w:rsidRDefault="00CD542C" w:rsidP="00E60C8C">
      <w:pPr>
        <w:pStyle w:val="Textonotapie"/>
        <w:jc w:val="both"/>
      </w:pPr>
      <w:r w:rsidRPr="001879B8">
        <w:rPr>
          <w:rStyle w:val="Refdenotaalpie"/>
        </w:rPr>
        <w:footnoteRef/>
      </w:r>
      <w:r w:rsidRPr="001879B8">
        <w:t xml:space="preserve"> Comité de la CEDAW de Naciones Unidas, Recomendación General No. 19: La violencia contra la mujer, Documento ONU A/47/38. 1992, pár. 24: “</w:t>
      </w:r>
      <w:r w:rsidRPr="001879B8">
        <w:rPr>
          <w:i/>
          <w:iCs/>
        </w:rPr>
        <w:t>A la luz de las observaciones anteriores, el Comité para la Eliminación de la Discriminación contra la Mujer recomienda que: b) Los Estados Partes velen porque las leyes contra la violencia y los malos tratos en la familia, la violación, los ataques sexuales y otro tipo de violencia contra la mujer protejan de manera adecuada a todas las mujeres y respeten su integridad y su dignidad. Debe proporcionarse a las víctimas protección y apoyo apropiados. Es indispensable que se capacite a los funcionarios judiciales, los agentes del orden público y otros funcionarios públicos para que aplique la Convención</w:t>
      </w:r>
      <w:r w:rsidRPr="001879B8">
        <w:t>”.</w:t>
      </w:r>
    </w:p>
  </w:footnote>
  <w:footnote w:id="78">
    <w:p w:rsidR="00CD542C" w:rsidRPr="001879B8" w:rsidRDefault="00CD542C" w:rsidP="00E60C8C">
      <w:pPr>
        <w:pStyle w:val="Textonotapie"/>
        <w:jc w:val="both"/>
      </w:pPr>
      <w:r w:rsidRPr="001879B8">
        <w:rPr>
          <w:rStyle w:val="Refdenotaalpie"/>
        </w:rPr>
        <w:footnoteRef/>
      </w:r>
      <w:r w:rsidRPr="001879B8">
        <w:t xml:space="preserve"> Declaración sobre la eliminación de la violencia contra la mujer de Naciones Unidas, 1993. “</w:t>
      </w:r>
      <w:r w:rsidRPr="001879B8">
        <w:rPr>
          <w:i/>
          <w:iCs/>
        </w:rPr>
        <w:t>Artículo 4</w:t>
      </w:r>
      <w:r w:rsidRPr="001879B8">
        <w:t>.</w:t>
      </w:r>
    </w:p>
    <w:p w:rsidR="00CD542C" w:rsidRPr="001879B8" w:rsidRDefault="00CD542C" w:rsidP="00E60C8C">
      <w:pPr>
        <w:pStyle w:val="Textonotapie"/>
        <w:jc w:val="both"/>
        <w:rPr>
          <w:i/>
          <w:iCs/>
        </w:rPr>
      </w:pPr>
      <w:r w:rsidRPr="001879B8">
        <w:rPr>
          <w:i/>
          <w:iCs/>
        </w:rPr>
        <w:t>Los Estados deben condenar la violencia contra la mujer y no invocar ninguna costumbre, tradición o consideración religiosa para eludir su obligación de procurar eliminarla. Los Estados deben aplicar por todos los medios apropiados y sin demora una política encaminada a eliminar la violencia contra la mujer. Con este fin, deberán:</w:t>
      </w:r>
    </w:p>
    <w:p w:rsidR="00CD542C" w:rsidRPr="001879B8" w:rsidRDefault="00CD542C" w:rsidP="00E60C8C">
      <w:pPr>
        <w:pStyle w:val="Textonotapie"/>
        <w:jc w:val="both"/>
        <w:rPr>
          <w:i/>
          <w:iCs/>
        </w:rPr>
      </w:pPr>
      <w:r w:rsidRPr="001879B8">
        <w:rPr>
          <w:i/>
          <w:iCs/>
        </w:rPr>
        <w:t>a) Considerar la posibilidad, cuando aún no lo hayan hecho, de ratificar la Convención sobre la eliminación de todas las formas de discriminación contra la mujer, de adherirse a ella o de retirar sus reservas a esa Convención;</w:t>
      </w:r>
    </w:p>
    <w:p w:rsidR="00CD542C" w:rsidRPr="001879B8" w:rsidRDefault="00CD542C" w:rsidP="00E60C8C">
      <w:pPr>
        <w:pStyle w:val="Textonotapie"/>
        <w:jc w:val="both"/>
        <w:rPr>
          <w:i/>
          <w:iCs/>
        </w:rPr>
      </w:pPr>
      <w:r w:rsidRPr="001879B8">
        <w:rPr>
          <w:i/>
          <w:iCs/>
        </w:rPr>
        <w:t>b) Abstenerse de practicar la violencia contra la mujer;</w:t>
      </w:r>
    </w:p>
    <w:p w:rsidR="00CD542C" w:rsidRPr="001879B8" w:rsidRDefault="00CD542C" w:rsidP="00E60C8C">
      <w:pPr>
        <w:pStyle w:val="Textonotapie"/>
        <w:jc w:val="both"/>
        <w:rPr>
          <w:i/>
          <w:iCs/>
        </w:rPr>
      </w:pPr>
      <w:r w:rsidRPr="001879B8">
        <w:rPr>
          <w:i/>
          <w:iCs/>
        </w:rPr>
        <w:t>c) Proceder con la debida diligencia a fin de prevenir, investigar y, conforme a la legislación nacional, castigar todo acto de violencia contra la mujer, ya se trate de actos perpetrados por el Estado o por particulares;</w:t>
      </w:r>
    </w:p>
    <w:p w:rsidR="00CD542C" w:rsidRPr="001879B8" w:rsidRDefault="00CD542C" w:rsidP="00E60C8C">
      <w:pPr>
        <w:pStyle w:val="Textonotapie"/>
        <w:jc w:val="both"/>
        <w:rPr>
          <w:i/>
          <w:iCs/>
        </w:rPr>
      </w:pPr>
      <w:r w:rsidRPr="001879B8">
        <w:rPr>
          <w:i/>
          <w:iCs/>
        </w:rPr>
        <w:t>d) Establecer, en la legislación nacional, sanciones penales, civiles, laborales y administrativas, para castigar y reparar los agravios infligidos a las mujeres que sean objeto de violencia; debe darse a éstas acceso a los mecanismos de la justicia y, con arreglo a lo dispuesto en la legislación nacional, a un resarcimiento justo y eficaz por el daño que hayan padecido; los Estados deben además informar a las mujeres de sus derechos a pedir reparación por medio de esos mecanismos;</w:t>
      </w:r>
    </w:p>
    <w:p w:rsidR="00CD542C" w:rsidRPr="001879B8" w:rsidRDefault="00CD542C" w:rsidP="00E60C8C">
      <w:pPr>
        <w:pStyle w:val="Textonotapie"/>
        <w:jc w:val="both"/>
        <w:rPr>
          <w:i/>
          <w:iCs/>
        </w:rPr>
      </w:pPr>
      <w:r w:rsidRPr="001879B8">
        <w:rPr>
          <w:i/>
          <w:iCs/>
        </w:rPr>
        <w:t>e) Considerar la posibilidad de elaborar planes de acción nacionales para promover la protección de la mujer contra toda forma de violencia o incluir disposiciones con ese fin en los planes existentes, teniendo en cuenta, según proceda, la cooperación que puedan proporcionar las organizaciones no gubernamentales, especialmente las que se ocupan de la cuestión de la violencia contra la mujer;</w:t>
      </w:r>
    </w:p>
    <w:p w:rsidR="00CD542C" w:rsidRPr="001879B8" w:rsidRDefault="00CD542C" w:rsidP="00E60C8C">
      <w:pPr>
        <w:pStyle w:val="Textonotapie"/>
        <w:jc w:val="both"/>
        <w:rPr>
          <w:i/>
          <w:iCs/>
        </w:rPr>
      </w:pPr>
      <w:r w:rsidRPr="001879B8">
        <w:rPr>
          <w:i/>
          <w:iCs/>
        </w:rPr>
        <w:t>f) Elaborar, con carácter general, enfoques de tipo preventivo y todas las medidas de índole jurídica, política, administrativa y cultural que puedan fomentar la protección de la mujer contra toda forma de violencia, y evitar eficazmente la reincidencia en la victimización de la mujer como consecuencia de leyes, prácticas de aplicación de la ley y otras intervenciones que no tengan en cuenta la discriminación contra la mujer;</w:t>
      </w:r>
    </w:p>
    <w:p w:rsidR="00CD542C" w:rsidRPr="001879B8" w:rsidRDefault="00CD542C" w:rsidP="00E60C8C">
      <w:pPr>
        <w:pStyle w:val="Textonotapie"/>
        <w:jc w:val="both"/>
        <w:rPr>
          <w:i/>
          <w:iCs/>
        </w:rPr>
      </w:pPr>
      <w:r w:rsidRPr="001879B8">
        <w:rPr>
          <w:i/>
          <w:iCs/>
        </w:rPr>
        <w:t>g) Esforzarse por garantizar, en la mayor medida posible a la luz de los recursos de que dispongan y, cuando sea necesario, dentro del marco de la cooperación internacional, que las mujeres objeto de violencia y, cuando corresponda, sus hijos, dispongan de asistencia especializada, como servicios de rehabilitación, ayuda para el cuidado y manutención de los niños, tratamiento, asesoramiento, servicios, instalaciones y programas sociales y de salud, así como estructuras de apoyo y, asimismo, adoptar todas las demás medidas adecuadas para fomentar su seguridad y rehabilitación física y sicológica;</w:t>
      </w:r>
    </w:p>
    <w:p w:rsidR="00CD542C" w:rsidRPr="001879B8" w:rsidRDefault="00CD542C" w:rsidP="00E60C8C">
      <w:pPr>
        <w:pStyle w:val="Textonotapie"/>
        <w:jc w:val="both"/>
        <w:rPr>
          <w:i/>
          <w:iCs/>
        </w:rPr>
      </w:pPr>
      <w:r w:rsidRPr="001879B8">
        <w:rPr>
          <w:i/>
          <w:iCs/>
        </w:rPr>
        <w:t>h) Consignar en los presupuestos del Estado los recursos adecuados para sus actividades relacionadas con la eliminación de la violencia contra la mujer;</w:t>
      </w:r>
    </w:p>
    <w:p w:rsidR="00CD542C" w:rsidRPr="001879B8" w:rsidRDefault="00CD542C" w:rsidP="00E60C8C">
      <w:pPr>
        <w:pStyle w:val="Textonotapie"/>
        <w:jc w:val="both"/>
        <w:rPr>
          <w:i/>
          <w:iCs/>
        </w:rPr>
      </w:pPr>
      <w:r w:rsidRPr="001879B8">
        <w:rPr>
          <w:i/>
          <w:iCs/>
        </w:rPr>
        <w:t>i) Adoptar medidas para que las autoridades encargadas de hacer cumplir la ley y los funcionarios que han de aplicar las políticas de prevención, investigación y castigo de la violencia contra la mujer reciban una formación que los sensibilice respecto de las necesidades de la mujer;</w:t>
      </w:r>
    </w:p>
    <w:p w:rsidR="00CD542C" w:rsidRPr="001879B8" w:rsidRDefault="00CD542C" w:rsidP="00E60C8C">
      <w:pPr>
        <w:pStyle w:val="Textonotapie"/>
        <w:jc w:val="both"/>
        <w:rPr>
          <w:i/>
          <w:iCs/>
        </w:rPr>
      </w:pPr>
      <w:r w:rsidRPr="001879B8">
        <w:rPr>
          <w:i/>
          <w:iCs/>
        </w:rPr>
        <w:t>j) Adoptar todas las medidas apropiadas, especialmente en el sector de la educación, para modificar las pautas sociales y culturales de comportamiento del hombre y de la mujer y eliminar los prejuicios y las prácticas consuetudinarias o de otra índole basadas en la idea de la inferioridad o la superioridad de uno de los sexos y en la atribución de papeles estereotipados al hombre y a la mujer;</w:t>
      </w:r>
    </w:p>
    <w:p w:rsidR="00CD542C" w:rsidRPr="001879B8" w:rsidRDefault="00CD542C" w:rsidP="00E60C8C">
      <w:pPr>
        <w:pStyle w:val="Textonotapie"/>
        <w:jc w:val="both"/>
        <w:rPr>
          <w:i/>
          <w:iCs/>
        </w:rPr>
      </w:pPr>
      <w:r w:rsidRPr="001879B8">
        <w:rPr>
          <w:i/>
          <w:iCs/>
        </w:rPr>
        <w:t>k) Promover la investigación, recoger datos y compilar estadísticas, especialmente en lo concerniente a la violencia en el hogar, relacionadas con la frecuencia de las distintas formas de violencia contra la mujer, y fomentar las investigaciones sobre las causas, la naturaleza, la gravedad y las consecuencias de esta violencia, así como sobre la eficacia de las medidas aplicadas para impedirla y reparar sus efectos; se deberán publicar esas estadísticas, así como las conclusiones de las investigaciones;</w:t>
      </w:r>
    </w:p>
    <w:p w:rsidR="00CD542C" w:rsidRPr="001879B8" w:rsidRDefault="00CD542C" w:rsidP="00E60C8C">
      <w:pPr>
        <w:pStyle w:val="Textonotapie"/>
        <w:jc w:val="both"/>
        <w:rPr>
          <w:i/>
          <w:iCs/>
        </w:rPr>
      </w:pPr>
      <w:r w:rsidRPr="001879B8">
        <w:rPr>
          <w:i/>
          <w:iCs/>
        </w:rPr>
        <w:t>l) Adoptar medidas orientadas a eliminar la violencia contra las mujeres especialmente vulnerables;</w:t>
      </w:r>
    </w:p>
    <w:p w:rsidR="00CD542C" w:rsidRPr="001879B8" w:rsidRDefault="00CD542C" w:rsidP="00E60C8C">
      <w:pPr>
        <w:pStyle w:val="Textonotapie"/>
        <w:jc w:val="both"/>
        <w:rPr>
          <w:i/>
          <w:iCs/>
        </w:rPr>
      </w:pPr>
      <w:r w:rsidRPr="001879B8">
        <w:rPr>
          <w:i/>
          <w:iCs/>
        </w:rPr>
        <w:t>m) Incluir, en los informes que se presenten en virtud de los instrumentos pertinentes de las Naciones Unidas relativos a los derechos humanos, información acerca de la violencia contra la mujer y las medidas adoptadas para poner en práctica la presente Declaración;</w:t>
      </w:r>
    </w:p>
    <w:p w:rsidR="00CD542C" w:rsidRPr="001879B8" w:rsidRDefault="00CD542C" w:rsidP="00E60C8C">
      <w:pPr>
        <w:pStyle w:val="Textonotapie"/>
        <w:jc w:val="both"/>
        <w:rPr>
          <w:i/>
          <w:iCs/>
        </w:rPr>
      </w:pPr>
      <w:r w:rsidRPr="001879B8">
        <w:rPr>
          <w:i/>
          <w:iCs/>
        </w:rPr>
        <w:t>n) Promover la elaboración de directrices adecuadas para ayudar a aplicar los principios enunciados en la presente Declaración;</w:t>
      </w:r>
    </w:p>
    <w:p w:rsidR="00CD542C" w:rsidRPr="001879B8" w:rsidRDefault="00CD542C" w:rsidP="00E60C8C">
      <w:pPr>
        <w:pStyle w:val="Textonotapie"/>
        <w:jc w:val="both"/>
        <w:rPr>
          <w:i/>
          <w:iCs/>
        </w:rPr>
      </w:pPr>
      <w:r w:rsidRPr="001879B8">
        <w:rPr>
          <w:i/>
          <w:iCs/>
        </w:rPr>
        <w:t>o) Reconocer el importante papel que desempeñan en todo el mundo el movimiento en pro de la mujer y las organizaciones no gubernamentales en la tarea de despertar la conciencia acerca del problema de la violencia contra la mujer y aliviar dicho problema;</w:t>
      </w:r>
    </w:p>
    <w:p w:rsidR="00CD542C" w:rsidRPr="001879B8" w:rsidRDefault="00CD542C" w:rsidP="00E60C8C">
      <w:pPr>
        <w:pStyle w:val="Textonotapie"/>
        <w:rPr>
          <w:i/>
          <w:iCs/>
        </w:rPr>
      </w:pPr>
      <w:r w:rsidRPr="001879B8">
        <w:rPr>
          <w:i/>
          <w:iCs/>
        </w:rPr>
        <w:t>p) Facilitar y promover la labor del movimiento en pro de la mujer y las organizaciones no gubernamentales, y cooperar con ellos en los planos local, nacional y regional;</w:t>
      </w:r>
    </w:p>
    <w:p w:rsidR="00D12A7F" w:rsidRDefault="00CD542C" w:rsidP="00E60C8C">
      <w:pPr>
        <w:pStyle w:val="Textonotapie"/>
      </w:pPr>
      <w:r w:rsidRPr="001879B8">
        <w:rPr>
          <w:i/>
          <w:iCs/>
        </w:rPr>
        <w:t>q) Alentar a las organizaciones intergubernamentales regionales a las que pertenezcan a que incluyan en sus programas, según convenga, la eliminación de la violencia contra la mujer</w:t>
      </w:r>
      <w:r w:rsidRPr="001879B8">
        <w:t>”.</w:t>
      </w:r>
    </w:p>
  </w:footnote>
  <w:footnote w:id="79">
    <w:p w:rsidR="00D12A7F" w:rsidRDefault="00CD542C" w:rsidP="00E60C8C">
      <w:pPr>
        <w:pStyle w:val="Textonotapie"/>
        <w:jc w:val="both"/>
      </w:pPr>
      <w:r w:rsidRPr="001879B8">
        <w:rPr>
          <w:rStyle w:val="Refdenotaalpie"/>
        </w:rPr>
        <w:footnoteRef/>
      </w:r>
      <w:r w:rsidRPr="001879B8">
        <w:t xml:space="preserve"> Sentencia T-878 de 2014 MP Jorge Iván Palacio Palacio; Auto 009 de 2015 M.P. Luis Ernesto Vargas Silva. “</w:t>
      </w:r>
      <w:r w:rsidRPr="001879B8">
        <w:rPr>
          <w:i/>
          <w:iCs/>
        </w:rPr>
        <w:t>Este marco jurídico será delineado a la luz del deber de diligencia debida, consagrado en la Convención sobre la Eliminación de todas las Formas de Discriminación contra la Mujer –CEDAW- 142 y en la Convención Interamericana para Prevenir, Sancionar y Erradicar la Violencia contra las Mujeres –Convención de Belem do Pará-. Primero, por cuanto los citados instrumentos internacionales del Sistema Universal de los Derechos Humanos y del Sistema Interamericano de los Derechos Humanos, respectivamente, hacen parte del ordenamiento constitucional interno en virtud del artículo 93 de la</w:t>
      </w:r>
      <w:r w:rsidRPr="001879B8">
        <w:t xml:space="preserve"> </w:t>
      </w:r>
      <w:r w:rsidRPr="001879B8">
        <w:rPr>
          <w:i/>
          <w:iCs/>
        </w:rPr>
        <w:t>Carta Política y la figura del bloque de constitucionalidad en sentido estricto. Los principios allí contenidos sobre la no discriminación y la erradicación de la violencia contra la mujer, no son susceptibles de suspensión en estados de excepción, y en este orden de ideas, deben ser acatados de manera íntegra por el Estado colombiano en todo tiempo y lugar</w:t>
      </w:r>
      <w:r w:rsidRPr="001879B8">
        <w:t xml:space="preserve">”. Colombia también ha suscrito otros compromisos internacionales alrededor del tema, pero no hacen parte del bloque de constitucionalidad en sentido estricto como la Declaración y Plataforma de Acción de Beijing, adoptada en Beijing, China, 1995; Conferencia y Plataforma de Acción de Viena, aprobada por la Conferencia Mundial de Derechos Humanos, el 25 de junio de 1993; Resolución 1325 del Consejo de Seguridad de Naciones Unidas, adoptada por el Consejo de Seguridad el 31 de octubre de 2000; Protocolo para Prevenir, Reprimir y sancionar la Trata de Personas, especialmente Mujeres y Niños, que complementa la Convención de las Naciones Unidas contra la Delincuencia Organizada Transnacional, aprobado mediante Ley 800 de 2003; Protocolo Facultativo de la Convención sobre la eliminación de todas las formas de discriminación contra la mujer, aprobado mediante la Ley 984 de 2005, entre otros. </w:t>
      </w:r>
    </w:p>
  </w:footnote>
  <w:footnote w:id="80">
    <w:p w:rsidR="00D12A7F" w:rsidRDefault="00CD542C" w:rsidP="00E60C8C">
      <w:pPr>
        <w:pStyle w:val="Textonotapie"/>
      </w:pPr>
      <w:r w:rsidRPr="001879B8">
        <w:rPr>
          <w:rStyle w:val="Refdenotaalpie"/>
        </w:rPr>
        <w:footnoteRef/>
      </w:r>
      <w:r w:rsidRPr="001879B8">
        <w:t xml:space="preserve"> M.P. Manuel José Cepeda Espinosa.</w:t>
      </w:r>
    </w:p>
  </w:footnote>
  <w:footnote w:id="81">
    <w:p w:rsidR="00D12A7F" w:rsidRDefault="00CD542C" w:rsidP="00E60C8C">
      <w:pPr>
        <w:pStyle w:val="Textonotapie"/>
        <w:jc w:val="both"/>
      </w:pPr>
      <w:r w:rsidRPr="001879B8">
        <w:rPr>
          <w:rStyle w:val="Refdenotaalpie"/>
        </w:rPr>
        <w:footnoteRef/>
      </w:r>
      <w:r w:rsidRPr="001879B8">
        <w:t xml:space="preserve"> M.P. Jaime Córdoba Triviño. En la sentencia T-234 de 2012 M.P. Gabriel Eduardo Mendoza Martelo, la Corte amparó los derechos seguridad personal, vida, libertad,  integridad y debido proceso de una víctima de violencia sexual del conflicto defensora de derechos humanos que consideraba que el Ministerio de Justicia y del Interior y de la Fiscalía General de la Nación no habían adoptado las medidas de protección que requiere como víctima de los delitos de abuso sexual, desplazamiento forzado y tentativa de secuestro. La Corte consideró que existía un deber especial de protección a las defensoras de derechos humanos en el contexto del conflicto armado, como víctimas de violencia, que requería la adopción de medidas con enfoque de género y reiteró la sentencia T-496 de 2008 M.P. Jaime Córdoba Triviño. Así, entre otras cosas, ordenó medidas de protección inmediata para la tutelante.</w:t>
      </w:r>
    </w:p>
  </w:footnote>
  <w:footnote w:id="82">
    <w:p w:rsidR="00D12A7F" w:rsidRDefault="00CD542C" w:rsidP="00E60C8C">
      <w:pPr>
        <w:pStyle w:val="Textonotapie"/>
        <w:jc w:val="both"/>
      </w:pPr>
      <w:r w:rsidRPr="001879B8">
        <w:rPr>
          <w:rStyle w:val="Refdenotaalpie"/>
        </w:rPr>
        <w:footnoteRef/>
      </w:r>
      <w:r w:rsidRPr="001879B8">
        <w:t xml:space="preserve"> Sentencia T-234 de 2012 M.P. Gabriel Eduardo Mendoza Martelo citando sentencia T-339 de 2010 M.P Juan Carlos Henao Pérez: “</w:t>
      </w:r>
      <w:r w:rsidRPr="001879B8">
        <w:rPr>
          <w:i/>
          <w:iCs/>
        </w:rPr>
        <w:t>Con base en lo anterior, cuando la persona está sometida a un nivel de riesgo, no se presenta violación alguna del derecho a la seguridad personal, pues los riesgos que se derivan de la existencia humana y de la vida en sociedad, deben ser soportados por todas las personas. Por el contrario, cuando la persona está sometida a una amenaza, se presenta la alteración del uso pacífico del derecho a la seguridad personal, en el nivel de amenaza ordinaria, y de los derechos a la vida y a la integridad personal, en virtud de la amenaza extrema</w:t>
      </w:r>
      <w:r w:rsidRPr="001879B8">
        <w:t>”.</w:t>
      </w:r>
    </w:p>
  </w:footnote>
  <w:footnote w:id="83">
    <w:p w:rsidR="00D12A7F" w:rsidRDefault="00CD542C" w:rsidP="00E60C8C">
      <w:pPr>
        <w:pStyle w:val="Textonotapie"/>
        <w:jc w:val="both"/>
      </w:pPr>
      <w:r w:rsidRPr="001879B8">
        <w:rPr>
          <w:rStyle w:val="Refdenotaalpie"/>
        </w:rPr>
        <w:footnoteRef/>
      </w:r>
      <w:r w:rsidRPr="001879B8">
        <w:t xml:space="preserve"> M.P. Jorge Iván Palacio Palacio. La Corte también revisó la medida violaba principio de destinación específica de los recursos de las instituciones de la seguridad social, consagrado en el artículo 48 de la Carta Política y concluyó que “</w:t>
      </w:r>
      <w:r w:rsidRPr="001879B8">
        <w:rPr>
          <w:i/>
          <w:iCs/>
        </w:rPr>
        <w:t>el Legislador, en ejercicio legítimo de sus potestades, ha decidido que los recursos para proveer tales prestaciones estarán a cargo del Sistema General de Seguridad Social en Salud. Por ésta razón, tampoco se viola el principio de especificidad de los recursos del Sistema de Seguridad Social</w:t>
      </w:r>
      <w:r w:rsidRPr="001879B8">
        <w:t>”.</w:t>
      </w:r>
    </w:p>
  </w:footnote>
  <w:footnote w:id="84">
    <w:p w:rsidR="00D12A7F" w:rsidRDefault="00CD542C" w:rsidP="00E60C8C">
      <w:pPr>
        <w:pStyle w:val="Textonotapie"/>
        <w:jc w:val="both"/>
      </w:pPr>
      <w:r w:rsidRPr="001879B8">
        <w:rPr>
          <w:rStyle w:val="Refdenotaalpie"/>
        </w:rPr>
        <w:footnoteRef/>
      </w:r>
      <w:r w:rsidRPr="001879B8">
        <w:t xml:space="preserve"> “</w:t>
      </w:r>
      <w:r w:rsidRPr="001879B8">
        <w:rPr>
          <w:i/>
          <w:iCs/>
        </w:rPr>
        <w:t>12. Concluye la Sala que las expresiones impugnadas no desconocen las previsiones de los artículos 48 y 49 de la Constitución Política, por cuanto (i) las prestaciones de alojamiento y alimentación establecidas en favor de la mujer víctima de violencia hacen parte derecho a la salud; (ii) el Legislador, en ejercicio legítimo de sus potestades, ha decidido que los recursos para proveer tales prestaciones estarán a cargo del Sistema General de Seguridad Social en Salud. Por ésta razón, tampoco se viola el principio de especificidad de los recursos del Sistema de Seguridad Social</w:t>
      </w:r>
      <w:r w:rsidRPr="001879B8">
        <w:t>”.</w:t>
      </w:r>
    </w:p>
  </w:footnote>
  <w:footnote w:id="85">
    <w:p w:rsidR="00D12A7F" w:rsidRDefault="00CD542C" w:rsidP="00E60C8C">
      <w:pPr>
        <w:pStyle w:val="Textonotapie"/>
        <w:jc w:val="both"/>
      </w:pPr>
      <w:r w:rsidRPr="001879B8">
        <w:rPr>
          <w:rStyle w:val="Refdenotaalpie"/>
        </w:rPr>
        <w:footnoteRef/>
      </w:r>
      <w:r w:rsidRPr="001879B8">
        <w:t xml:space="preserve"> M.P. Jorge Ignacio Pretelt Chaljub.</w:t>
      </w:r>
    </w:p>
  </w:footnote>
  <w:footnote w:id="86">
    <w:p w:rsidR="00CD542C" w:rsidRPr="001879B8" w:rsidRDefault="00CD542C" w:rsidP="00E60C8C">
      <w:pPr>
        <w:pStyle w:val="Textonotapie"/>
        <w:jc w:val="both"/>
        <w:rPr>
          <w:i/>
          <w:iCs/>
        </w:rPr>
      </w:pPr>
      <w:r w:rsidRPr="001879B8">
        <w:rPr>
          <w:rStyle w:val="Refdenotaalpie"/>
        </w:rPr>
        <w:footnoteRef/>
      </w:r>
      <w:r w:rsidRPr="001879B8">
        <w:t xml:space="preserve"> Sentencia C-335 de 2013 M.P. Jorge Ignacio Pretelt Chaljub “</w:t>
      </w:r>
      <w:r w:rsidRPr="001879B8">
        <w:rPr>
          <w:i/>
          <w:iCs/>
        </w:rPr>
        <w:t>3.9.3.1.En primer lugar, las sanciones sociales no requieren estar consagradas necesariamente por el ordenamiento jurídico, sino que surgen en la sociedad como formas de control social informal en la familia, la educación, la cultura y las relaciones sociales, por esta razón no tienen que ser tipificadas ni se encuentran sometidas al principio de legalidad.</w:t>
      </w:r>
    </w:p>
    <w:p w:rsidR="00CD542C" w:rsidRPr="001879B8" w:rsidRDefault="00CD542C" w:rsidP="00E60C8C">
      <w:pPr>
        <w:pStyle w:val="Textonotapie"/>
        <w:jc w:val="both"/>
        <w:rPr>
          <w:i/>
          <w:iCs/>
        </w:rPr>
      </w:pPr>
      <w:r w:rsidRPr="001879B8">
        <w:rPr>
          <w:i/>
          <w:iCs/>
        </w:rPr>
        <w:t>3.9.3.2.</w:t>
      </w:r>
      <w:r w:rsidRPr="001879B8">
        <w:rPr>
          <w:i/>
          <w:iCs/>
        </w:rPr>
        <w:tab/>
        <w:t>En segundo lugar, las sanciones sociales no son penas estatales, sino mecanismos de condicionamiento social que buscan que el sujeto imite o repita las formas de conducta que conllevan consecuencias positivas y evite cometer las que tengan consecuencias negativas al interior de la propia sociedad, a través de mecanismos que son impuestos en la familia, la educación, el trabajo o las interacciones sociales, pero que no dependen del Estado, pues son informales. En este sentido, los mecanismos de control social informal son plenamente válidos en un Estado social de Derecho, pues no implican la privación de derechos fundamentales, sino que simplemente tienen por objeto aplicar estímulos o desestímulos a conductas socialmente relevantes.</w:t>
      </w:r>
    </w:p>
    <w:p w:rsidR="00CD542C" w:rsidRPr="001879B8" w:rsidRDefault="00CD542C" w:rsidP="00E60C8C">
      <w:pPr>
        <w:pStyle w:val="Textonotapie"/>
        <w:jc w:val="both"/>
        <w:rPr>
          <w:i/>
          <w:iCs/>
        </w:rPr>
      </w:pPr>
      <w:r w:rsidRPr="001879B8">
        <w:rPr>
          <w:i/>
          <w:iCs/>
        </w:rPr>
        <w:t xml:space="preserve">En este sentido, las “sanciones sociales” a las que se refiere la expresión demandada no se dirijan a la descalificación de personas en concreto, ni a la afectación de sus derechos, sino que se trata de medidas para reforzar la desaprobación social de conductas de discriminación y violencia contra las mujeres.  </w:t>
      </w:r>
    </w:p>
    <w:p w:rsidR="00D12A7F" w:rsidRDefault="00CD542C" w:rsidP="00E60C8C">
      <w:pPr>
        <w:pStyle w:val="Textonotapie"/>
        <w:jc w:val="both"/>
      </w:pPr>
      <w:r w:rsidRPr="001879B8">
        <w:rPr>
          <w:i/>
          <w:iCs/>
        </w:rPr>
        <w:t>3.9.3.3.</w:t>
      </w:r>
      <w:r w:rsidRPr="001879B8">
        <w:rPr>
          <w:i/>
          <w:iCs/>
        </w:rPr>
        <w:tab/>
        <w:t>En tercer lugar, la norma demandada tampoco vulnera los artículos 113, 116, 228 y 229 de la Constitución Política que establecen la titularidad del Estado de la administración de justicia, pues por el contrario permite que se establezcan mecanismos para mejorar esta función. En este campo, las sanciones sociales son complementos muy importantes de los instrumentos de control social formal pues: (i) facilitan el aprendizaje de la lesividad de la discriminación y la violencia al interior de la familia, la educación y de las relaciones sociales, (ii) reprimen desde la propia educación comportamientos discriminatorios o violentos, y (iii) facilitan la denuncia generando respuestas inmediatas en otros miembros de la sociedad de apoyo a las víctimas y de divulgación de los abusos a la justicia y a los medios de comunicación</w:t>
      </w:r>
      <w:r w:rsidRPr="001879B8">
        <w:t>”.</w:t>
      </w:r>
    </w:p>
  </w:footnote>
  <w:footnote w:id="87">
    <w:p w:rsidR="00D12A7F" w:rsidRDefault="00CD542C" w:rsidP="00E60C8C">
      <w:pPr>
        <w:pStyle w:val="Textonotapie"/>
        <w:jc w:val="both"/>
      </w:pPr>
      <w:r w:rsidRPr="001879B8">
        <w:rPr>
          <w:rStyle w:val="Refdenotaalpie"/>
        </w:rPr>
        <w:footnoteRef/>
      </w:r>
      <w:r w:rsidRPr="001879B8">
        <w:t xml:space="preserve"> M.P. Alberto Rojas Ríos.</w:t>
      </w:r>
    </w:p>
  </w:footnote>
  <w:footnote w:id="88">
    <w:p w:rsidR="00D12A7F" w:rsidRDefault="00CD542C" w:rsidP="00E60C8C">
      <w:pPr>
        <w:pStyle w:val="Textonotapie"/>
        <w:jc w:val="both"/>
      </w:pPr>
      <w:r w:rsidRPr="001879B8">
        <w:rPr>
          <w:rStyle w:val="Refdenotaalpie"/>
        </w:rPr>
        <w:footnoteRef/>
      </w:r>
      <w:r w:rsidRPr="001879B8">
        <w:t xml:space="preserve"> Sentencia C-368 de 2014 M.P. Alberto Rojas Ríos: “</w:t>
      </w:r>
      <w:r w:rsidRPr="001879B8">
        <w:rPr>
          <w:i/>
          <w:iCs/>
        </w:rPr>
        <w:t>En conclusión, la mayor punibilidad de la conducta constitutiva de lesiones personales cuando se causa a quien hace parte del mismo grupo familiar se justifica por el deber de protección especial a la familia como elemento fundamental de la sociedad, pues independientemente del modelo de familia de que se trate, es necesario brindarle los elementos necesarios para que exista un nivel adecuado de vida que asegure la salud y el bienestar, y garantizar que las relaciones entre sus integrantes se fundamenten en el respeto mutuo, como lo señala el artículo 42 de la Constitución. Además, el mayor reproche penal a los actos violentos cuando tienen jugar en el ámbito doméstico es desarrollo del mandato constitucional, contenido en la misma disposición, de sancionar cualquier forma de violencia en la familia en cuanto destruye su unidad y armonía</w:t>
      </w:r>
      <w:r w:rsidRPr="001879B8">
        <w:t xml:space="preserve">”. En la decisión, la Corte también consideró que la norma se ajustaba al principio de legalidad y taxatividad ya que delimitada a cada uno de sus elementos. Esta corporación también se ha protegido a la mujer de la violencia intrafamiliar con consecuencias en el ámbito laboral. Ver por ejemplo: sentencia T-878 de 2014 M.P. Jorge Iván Palacio Palacio. </w:t>
      </w:r>
    </w:p>
  </w:footnote>
  <w:footnote w:id="89">
    <w:p w:rsidR="00D12A7F" w:rsidRDefault="00CD542C" w:rsidP="00E60C8C">
      <w:pPr>
        <w:pStyle w:val="Textonotapie"/>
      </w:pPr>
      <w:r w:rsidRPr="001879B8">
        <w:rPr>
          <w:rStyle w:val="Refdenotaalpie"/>
        </w:rPr>
        <w:footnoteRef/>
      </w:r>
      <w:r w:rsidRPr="001879B8">
        <w:t xml:space="preserve"> M.P. Jorge Iván Palacio Palacio.</w:t>
      </w:r>
    </w:p>
  </w:footnote>
  <w:footnote w:id="90">
    <w:p w:rsidR="00D12A7F" w:rsidRDefault="00CD542C" w:rsidP="00E60C8C">
      <w:pPr>
        <w:spacing w:after="0" w:line="240" w:lineRule="auto"/>
        <w:jc w:val="both"/>
      </w:pPr>
      <w:r w:rsidRPr="001879B8">
        <w:rPr>
          <w:rStyle w:val="Refdenotaalpie"/>
          <w:rFonts w:ascii="Times New Roman" w:hAnsi="Times New Roman"/>
          <w:sz w:val="20"/>
          <w:szCs w:val="20"/>
        </w:rPr>
        <w:footnoteRef/>
      </w:r>
      <w:r w:rsidRPr="001879B8">
        <w:rPr>
          <w:rFonts w:ascii="Times New Roman" w:hAnsi="Times New Roman"/>
          <w:sz w:val="20"/>
          <w:szCs w:val="20"/>
        </w:rPr>
        <w:t xml:space="preserve"> Sentencia T-878 de 2014 M.P. Jorge Iván Palacio Palacio: “</w:t>
      </w:r>
      <w:r w:rsidRPr="001879B8">
        <w:rPr>
          <w:rFonts w:ascii="Times New Roman" w:hAnsi="Times New Roman"/>
          <w:i/>
          <w:iCs/>
          <w:sz w:val="20"/>
          <w:szCs w:val="20"/>
        </w:rPr>
        <w:t>El anterior recuento permite establecer que a pesar de los avances en la toma de conciencia de sobre las dimensiones de la violencia de género, como se anotó, ellos no resultan suficientes para que los funcionarios públicos encargados de la prevención, atención y sanción de este fenómeno comprendan que las agresiones afectan gravemente los derechos fundamentales de las mujeres. Al respecto, es necesario recordar que el derecho fue creado e implementado para satisfacer las necesidades masculinas, por lo que las normas, instituciones y prácticas jurídicas son ciegas a los requerimientos específicos de las mujeres. Ello implica que el sistema de administración de justicia y sus operadores no siempre están preparados para atender sus demandas, entre ellas las denuncias de hechos de violencia, con perspectiva de género</w:t>
      </w:r>
      <w:r w:rsidRPr="001879B8">
        <w:rPr>
          <w:rFonts w:ascii="Times New Roman" w:hAnsi="Times New Roman"/>
          <w:sz w:val="20"/>
          <w:szCs w:val="20"/>
        </w:rPr>
        <w:t xml:space="preserve">”. Ver en el mismo sentido sentencia T-967 de 2014 M.P. Gloria Stella Ortiz Delgado. </w:t>
      </w:r>
    </w:p>
  </w:footnote>
  <w:footnote w:id="91">
    <w:p w:rsidR="00D12A7F" w:rsidRDefault="00CD542C" w:rsidP="00E60C8C">
      <w:pPr>
        <w:pStyle w:val="Textonotapie"/>
        <w:jc w:val="both"/>
      </w:pPr>
      <w:r w:rsidRPr="001879B8">
        <w:rPr>
          <w:rStyle w:val="Refdenotaalpie"/>
        </w:rPr>
        <w:footnoteRef/>
      </w:r>
      <w:r w:rsidRPr="001879B8">
        <w:t xml:space="preserve"> M.P. Luis Ernesto Vargas Silva.</w:t>
      </w:r>
    </w:p>
  </w:footnote>
  <w:footnote w:id="92">
    <w:p w:rsidR="00D12A7F" w:rsidRDefault="00CD542C" w:rsidP="00E60C8C">
      <w:pPr>
        <w:pStyle w:val="Textonotapie"/>
      </w:pPr>
      <w:r w:rsidRPr="001879B8">
        <w:rPr>
          <w:rStyle w:val="Refdenotaalpie"/>
        </w:rPr>
        <w:footnoteRef/>
      </w:r>
      <w:r w:rsidRPr="001879B8">
        <w:t xml:space="preserve"> M.P. Manuel José Cepeda Espinosa.</w:t>
      </w:r>
    </w:p>
  </w:footnote>
  <w:footnote w:id="93">
    <w:p w:rsidR="00D12A7F" w:rsidRDefault="00CD542C" w:rsidP="00E60C8C">
      <w:pPr>
        <w:pStyle w:val="Textonotapie"/>
        <w:jc w:val="both"/>
      </w:pPr>
      <w:r w:rsidRPr="001879B8">
        <w:rPr>
          <w:rStyle w:val="Refdenotaalpie"/>
        </w:rPr>
        <w:footnoteRef/>
      </w:r>
      <w:r w:rsidRPr="001879B8">
        <w:t xml:space="preserve"> M.P. Gloria Stella Ortiz Delgado.</w:t>
      </w:r>
    </w:p>
  </w:footnote>
  <w:footnote w:id="94">
    <w:p w:rsidR="00D12A7F" w:rsidRDefault="00CD542C" w:rsidP="00DF40ED">
      <w:pPr>
        <w:pStyle w:val="Textonotapie"/>
        <w:jc w:val="both"/>
      </w:pPr>
      <w:r w:rsidRPr="00254DA8">
        <w:rPr>
          <w:rStyle w:val="Refdenotaalpie"/>
        </w:rPr>
        <w:footnoteRef/>
      </w:r>
      <w:r w:rsidRPr="00254DA8">
        <w:t xml:space="preserve"> El término feminicidio fue articulado inicialmente por Jill Radford y Diane Russell  después del asesinato de un grupo de mujeres por un canadiense que alegaba su odio hacia las mujeres, y fue definido como el asesinato misógino de mujeres por hombres.</w:t>
      </w:r>
    </w:p>
  </w:footnote>
  <w:footnote w:id="95">
    <w:p w:rsidR="00D12A7F" w:rsidRDefault="00CD542C" w:rsidP="00DF40ED">
      <w:pPr>
        <w:pStyle w:val="Textonotapie"/>
        <w:jc w:val="both"/>
      </w:pPr>
      <w:r w:rsidRPr="00254DA8">
        <w:rPr>
          <w:rStyle w:val="Refdenotaalpie"/>
        </w:rPr>
        <w:footnoteRef/>
      </w:r>
      <w:r w:rsidRPr="00254DA8">
        <w:t xml:space="preserve"> Lemaitre, Julieta.  “Violencia”. En Motta, Cristina, y Macarena Sáez. 2008. La mirada de los jueces. Bogotá, Siglo del Hombre Editores.</w:t>
      </w:r>
    </w:p>
  </w:footnote>
  <w:footnote w:id="96">
    <w:p w:rsidR="00D12A7F" w:rsidRDefault="00CD542C" w:rsidP="00DF40ED">
      <w:pPr>
        <w:pStyle w:val="Textonotapie"/>
        <w:jc w:val="both"/>
      </w:pPr>
      <w:r w:rsidRPr="00254DA8">
        <w:rPr>
          <w:rStyle w:val="Refdenotaalpie"/>
        </w:rPr>
        <w:footnoteRef/>
      </w:r>
      <w:r w:rsidRPr="00254DA8">
        <w:t xml:space="preserve"> Marcela Lagarde, “Antropología, Feminismo y Política: Violencia Feminicida y</w:t>
      </w:r>
      <w:r>
        <w:t xml:space="preserve"> derechos humanos en: Margaret B</w:t>
      </w:r>
      <w:r w:rsidRPr="00254DA8">
        <w:t>ullen, Carmen Diez Mintegui (coordinadoras), Retos Teóricos y Nuevas Prácticas,</w:t>
      </w:r>
      <w:r>
        <w:t xml:space="preserve"> Ed. </w:t>
      </w:r>
      <w:r w:rsidRPr="0075088E">
        <w:t>Ankulegi</w:t>
      </w:r>
      <w:r>
        <w:t>, 2008,</w:t>
      </w:r>
      <w:r w:rsidRPr="00254DA8">
        <w:t xml:space="preserve"> pg 12. “</w:t>
      </w:r>
      <w:r w:rsidRPr="00254DA8">
        <w:rPr>
          <w:i/>
          <w:iCs/>
        </w:rPr>
        <w:t>En castellano femicidio es una voz homóloga a homicidio y sólo significa homicidio de mujeres. Por eso, para diferenciarlo, preferí la voz feminicidio y denominar así al conjunto de violaciones a los derechos humanos de las mujeres que contienen los crímenes y las desapariciones de mujeres y que, estos fuesen identificados como crímenes de lesa humanidad. El feminicidio es el genocidio contra mujeres y sucede cuando las condiciones históricas generan prácticas sociales que permiten atentados violentos contra la integridad, la salud, las libertades y la vida de niñas y mujeres. En el feminicidio concurren en tiempo y espacio, daños contra niñas y mujeres realizados por conocidos y desconocidos, por violentos, -en ocasiones violadores-, y asesinos individuales y grupales, ocasionales o profesionales, que conducen a la muerte cruel de algunas de las víctimas. No todos los crímenes son concertados o realizados por asesinos seriales: los hay seriales e individuales, algunos son cometidos por conocidos: parejas, ex parejas parientes, novios, esposos, acompañantes, familiares, visitas, colegas y compañeros de trabajo; también son perpetrados por desconocidos y anónimos, y por grupos mafiosos de delincuentes ligados a modos de vida violentos y criminales. Sin embargo, todos tienen en común que las mujeres son usables, prescindibles, maltratables y desechables. Y, desde luego, todos coinciden en su infinita crueldad y son, de hecho, crímenes de odio contra las mujeres</w:t>
      </w:r>
      <w:r w:rsidRPr="00254DA8">
        <w:t>”.</w:t>
      </w:r>
    </w:p>
  </w:footnote>
  <w:footnote w:id="97">
    <w:p w:rsidR="00D12A7F" w:rsidRDefault="00CD542C" w:rsidP="00DF40ED">
      <w:pPr>
        <w:pStyle w:val="Textonotapie"/>
        <w:jc w:val="both"/>
      </w:pPr>
      <w:r w:rsidRPr="00254DA8">
        <w:rPr>
          <w:rStyle w:val="Refdenotaalpie"/>
        </w:rPr>
        <w:footnoteRef/>
      </w:r>
      <w:r w:rsidRPr="00254DA8">
        <w:t xml:space="preserve"> Corte Interamericana de Derechos Humanos, Caso González y otras (“Campo Algodonero”) vs. México. Excepción preliminar, fondo, reparaciones y costas. Sentencia de 16 de noviembre de 2009. Serie C No 205.</w:t>
      </w:r>
    </w:p>
  </w:footnote>
  <w:footnote w:id="98">
    <w:p w:rsidR="00D12A7F" w:rsidRDefault="00CD542C" w:rsidP="00DF40ED">
      <w:pPr>
        <w:pStyle w:val="Textonotapie"/>
        <w:jc w:val="both"/>
      </w:pPr>
      <w:r w:rsidRPr="00254DA8">
        <w:rPr>
          <w:rStyle w:val="Refdenotaalpie"/>
        </w:rPr>
        <w:footnoteRef/>
      </w:r>
      <w:r w:rsidRPr="00254DA8">
        <w:t xml:space="preserve"> Corte Interamericana de Derechos Humanos, Caso González y otras (“Campo Algodonero”) vs. México. Excepción preliminar, fondo, reparaciones y costas. Sentencia de 16 de noviembre de 2009. Serie C No 205: “169.</w:t>
      </w:r>
      <w:r w:rsidRPr="00254DA8">
        <w:tab/>
      </w:r>
      <w:r w:rsidRPr="00254DA8">
        <w:rPr>
          <w:i/>
          <w:iCs/>
        </w:rPr>
        <w:t>De todo lo expuesto anteriormente, la Corte concluye que desde 1993 existe en Ciudad Juárez un aumento de homicidios de mujeres, habiendo por lo menos 264 víctimas hasta el año 2001 y 379 hasta el 2005. Sin embargo, más allá de las cifras, sobre las cuales la Corte observa no existe firmeza, es preocupante el hecho de que algunos de estos crímenes parecen presentar altos grados de violencia, incluyendo sexual, y que en general han sido influenciados, tal como lo acepta el Estado, por una cultura de discriminación contra la mujer, la cual, según diversas fuentes probatorias, ha incidido tanto en los motivos como en la modalidad de los crímenes, así como en la respuesta de las autoridades frente a éstos. En este sentido, cabe destacar las respuestas ineficientes y las actitudes indiferentes documentadas en cuanto a la investigación de dichos crímenes, que parecen haber permitido que se haya perpetuado la violencia contra la mujer en Ciudad Juárez. La Corte constata que hasta el año 2005 la mayoría de los crímenes seguían sin ser esclarecidos, siendo los homicidios que presentan características de violencia sexual los que presentan mayores niveles de impunidad</w:t>
      </w:r>
      <w:r w:rsidRPr="00254DA8">
        <w:t>”.</w:t>
      </w:r>
    </w:p>
  </w:footnote>
  <w:footnote w:id="99">
    <w:p w:rsidR="00D12A7F" w:rsidRDefault="00CD542C" w:rsidP="00DF40ED">
      <w:pPr>
        <w:pStyle w:val="Textonotapie"/>
        <w:jc w:val="both"/>
      </w:pPr>
      <w:r w:rsidRPr="00254DA8">
        <w:rPr>
          <w:rStyle w:val="Refdenotaalpie"/>
        </w:rPr>
        <w:footnoteRef/>
      </w:r>
      <w:r w:rsidRPr="00254DA8">
        <w:t xml:space="preserve"> </w:t>
      </w:r>
      <w:r w:rsidRPr="00254DA8">
        <w:rPr>
          <w:lang w:val="es-CO"/>
        </w:rPr>
        <w:t>Reporte a la Asamblea General de Naciones Unidas de la Relatora especial sobre la violencia contra la mujer, sus causas y consecuencias, Rashida Manjoo, A/HRC/20/16 pár. 15. (Traducción libre, versión original en inglés y chino).</w:t>
      </w:r>
    </w:p>
  </w:footnote>
  <w:footnote w:id="100">
    <w:p w:rsidR="00D12A7F" w:rsidRDefault="00CD542C" w:rsidP="00DF40ED">
      <w:pPr>
        <w:pStyle w:val="Textonotapie"/>
        <w:jc w:val="both"/>
      </w:pPr>
      <w:r w:rsidRPr="00254DA8">
        <w:rPr>
          <w:rStyle w:val="Refdenotaalpie"/>
        </w:rPr>
        <w:footnoteRef/>
      </w:r>
      <w:r w:rsidRPr="00254DA8">
        <w:t xml:space="preserve"> </w:t>
      </w:r>
      <w:r w:rsidRPr="00254DA8">
        <w:rPr>
          <w:lang w:val="es-CO"/>
        </w:rPr>
        <w:t>Reporte a la Asamblea General de Naciones Unidas de la Relatora especial sobre la violencia contra la mujer, sus causas y consecuencias, Rashida Manjoo, A/HRC/20/16 pár. 18. (Traducción libre, versión original en inglés y chino).</w:t>
      </w:r>
    </w:p>
  </w:footnote>
  <w:footnote w:id="101">
    <w:p w:rsidR="00D12A7F" w:rsidRDefault="00CD542C" w:rsidP="00DF40ED">
      <w:pPr>
        <w:pStyle w:val="Textonotapie"/>
        <w:jc w:val="both"/>
      </w:pPr>
      <w:r w:rsidRPr="00254DA8">
        <w:rPr>
          <w:rStyle w:val="Refdenotaalpie"/>
        </w:rPr>
        <w:footnoteRef/>
      </w:r>
      <w:r w:rsidRPr="00254DA8">
        <w:t xml:space="preserve"> ONU Mujeres, la Oficina del Alto Comisionado de Derechos Humanos en América Central, y la Campaña latinoamericana para poner fin a la violencia contra las mujeres Únete, Modelo Protocolo latinoamericano de investigación de las muertes violentas de mujeres por razones de género (femicidio/feminicidio), pár. 33.</w:t>
      </w:r>
    </w:p>
  </w:footnote>
  <w:footnote w:id="102">
    <w:p w:rsidR="00D12A7F" w:rsidRDefault="00CD542C" w:rsidP="00DF40ED">
      <w:pPr>
        <w:pStyle w:val="Textonotapie"/>
        <w:jc w:val="both"/>
      </w:pPr>
      <w:r w:rsidRPr="00254DA8">
        <w:rPr>
          <w:rStyle w:val="Refdenotaalpie"/>
        </w:rPr>
        <w:footnoteRef/>
      </w:r>
      <w:r w:rsidRPr="00254DA8">
        <w:t xml:space="preserve"> ONU Mujeres, la Oficina del Alto Comisionado de Derechos Humanos en América Central, y la Campaña latinoamericana para poner fin a la violencia contra las mujeres Únete, Modelo Protocolo latinoamericano de investigación de las muertes violentas de mujeres por razones de género (femicidio/feminicidio), pár.97.</w:t>
      </w:r>
    </w:p>
  </w:footnote>
  <w:footnote w:id="103">
    <w:p w:rsidR="00D12A7F" w:rsidRDefault="00CD542C" w:rsidP="00DF40ED">
      <w:pPr>
        <w:pStyle w:val="Textonotapie"/>
        <w:jc w:val="both"/>
      </w:pPr>
      <w:r w:rsidRPr="00254DA8">
        <w:rPr>
          <w:rStyle w:val="Refdenotaalpie"/>
        </w:rPr>
        <w:footnoteRef/>
      </w:r>
      <w:r w:rsidRPr="00254DA8">
        <w:t xml:space="preserve"> ONU Mujeres, la Oficina del Alto Comisionado de Derechos Humanos en América Central, y la Campaña latinoamericana para poner fin a la violencia contra las mujeres Únete, Modelo Protocolo latinoamericano de investigación de las muertes violentas de mujeres por razones de género (femicidio/feminicidio), pár. 295.</w:t>
      </w:r>
    </w:p>
  </w:footnote>
  <w:footnote w:id="104">
    <w:p w:rsidR="00D12A7F" w:rsidRDefault="00CD542C" w:rsidP="00DF40ED">
      <w:pPr>
        <w:pStyle w:val="Textonotapie"/>
        <w:jc w:val="both"/>
      </w:pPr>
      <w:r w:rsidRPr="00254DA8">
        <w:rPr>
          <w:rStyle w:val="Refdenotaalpie"/>
        </w:rPr>
        <w:footnoteRef/>
      </w:r>
      <w:r w:rsidRPr="00254DA8">
        <w:t xml:space="preserve"> Ley Nº 348 de 2013 “Ley Integral para Garantizar a las Mujeres una Vida Libre de Violencia”. “</w:t>
      </w:r>
      <w:r w:rsidRPr="00254DA8">
        <w:rPr>
          <w:i/>
          <w:iCs/>
        </w:rPr>
        <w:t>Artículo 252 bis. (Feminicidio). Se sancionará con la pena de presidio de treinta (30) años sin derecho a indulto, a quien mate a una mujer, en cualquiera de las siguientes circunstancias: (…)6. Cuando con anterioridad al hecho de la muerte, la mujer haya sido víctima de violencia física, psicológica, sexual o económica, cometida por el mismo agresor (…)</w:t>
      </w:r>
      <w:r w:rsidRPr="00254DA8">
        <w:t>”.</w:t>
      </w:r>
    </w:p>
  </w:footnote>
  <w:footnote w:id="105">
    <w:p w:rsidR="00D12A7F" w:rsidRDefault="00CD542C" w:rsidP="00DF40ED">
      <w:pPr>
        <w:pStyle w:val="Textonotapie"/>
        <w:jc w:val="both"/>
      </w:pPr>
      <w:r w:rsidRPr="00254DA8">
        <w:rPr>
          <w:rStyle w:val="Refdenotaalpie"/>
        </w:rPr>
        <w:footnoteRef/>
      </w:r>
      <w:r w:rsidRPr="00254DA8">
        <w:t xml:space="preserve"> Ley Especial Integral para Una Vida Libre de Violencia para las Mujeres. Decreto nº 520 de 2011.  “</w:t>
      </w:r>
      <w:r w:rsidRPr="00254DA8">
        <w:rPr>
          <w:i/>
          <w:iCs/>
        </w:rPr>
        <w:t>Artículo. 45. Feminicidio. Quien le causare la muerte a una mujer mediando motivos de odio o menosprecio por su condición de mujer, será sancionado con pena de prisión de veinte a treinta y cinco años. Se considera que existe odio o menosprecio a la condición de mujer cuando ocurra cualquiera de las siguientes circunstancias: a) Que a la muerte le haya precedido algún incidente de violencia cometido por el autor contra la mujer, independientemente que el hecho haya sido denunciado o no por la víctima</w:t>
      </w:r>
      <w:r w:rsidRPr="00254DA8">
        <w:t>”.</w:t>
      </w:r>
    </w:p>
  </w:footnote>
  <w:footnote w:id="106">
    <w:p w:rsidR="00D12A7F" w:rsidRDefault="00CD542C" w:rsidP="00DF40ED">
      <w:pPr>
        <w:pStyle w:val="Textonotapie"/>
        <w:jc w:val="both"/>
      </w:pPr>
      <w:r w:rsidRPr="00254DA8">
        <w:rPr>
          <w:rStyle w:val="Refdenotaalpie"/>
        </w:rPr>
        <w:footnoteRef/>
      </w:r>
      <w:r w:rsidRPr="00254DA8">
        <w:t xml:space="preserve"> Ley contra el Femicidio y otras Formas de Violencia Contra la Mujer (Decreto Nº 22-2008). “</w:t>
      </w:r>
      <w:r w:rsidRPr="00254DA8">
        <w:rPr>
          <w:i/>
          <w:iCs/>
        </w:rPr>
        <w:t>Artículo 6º. Femicidio. Comete el delito de femicidio quien, en el marco de las relaciones desiguales de poder entre hombres y mujeres, diere muerte a una mujer, por su condición de mujer, valiéndose de cualquiera de las siguientes circunstancias: (…) c. Como resultado de la reiterada manifestación de violencia en contra de la víctima</w:t>
      </w:r>
      <w:r w:rsidRPr="00254DA8">
        <w:t xml:space="preserve"> (…)”.</w:t>
      </w:r>
    </w:p>
  </w:footnote>
  <w:footnote w:id="107">
    <w:p w:rsidR="00CD542C" w:rsidRPr="00254DA8" w:rsidRDefault="00CD542C" w:rsidP="00DF40ED">
      <w:pPr>
        <w:pStyle w:val="Textonotapie"/>
        <w:jc w:val="both"/>
        <w:rPr>
          <w:i/>
          <w:iCs/>
        </w:rPr>
      </w:pPr>
      <w:r w:rsidRPr="00254DA8">
        <w:rPr>
          <w:rStyle w:val="Refdenotaalpie"/>
        </w:rPr>
        <w:footnoteRef/>
      </w:r>
      <w:r w:rsidRPr="00254DA8">
        <w:t xml:space="preserve"> Reforma hecha al Código Penal Federal en el 2012. Libro Segundo. </w:t>
      </w:r>
      <w:r w:rsidR="009F216B" w:rsidRPr="00254DA8">
        <w:t>Título</w:t>
      </w:r>
      <w:r w:rsidRPr="00254DA8">
        <w:t xml:space="preserve"> Decimonoveno.  Capítulo V. “</w:t>
      </w:r>
      <w:r w:rsidRPr="00254DA8">
        <w:rPr>
          <w:i/>
          <w:iCs/>
        </w:rPr>
        <w:t>Artículo 325. Comete el delito de feminicidio quien prive de la vida a una mujer por razones de género. Se considera que existen razones de género cuando concurra alguna de las siguientes circunstancias:</w:t>
      </w:r>
    </w:p>
    <w:p w:rsidR="00D12A7F" w:rsidRDefault="00CD542C" w:rsidP="00DF40ED">
      <w:pPr>
        <w:pStyle w:val="Textonotapie"/>
        <w:jc w:val="both"/>
      </w:pPr>
      <w:r w:rsidRPr="00254DA8">
        <w:rPr>
          <w:i/>
          <w:iCs/>
        </w:rPr>
        <w:t>I. La víctima presente signos de violencia sexual de cualquier tipo; (…</w:t>
      </w:r>
      <w:r w:rsidR="009F216B" w:rsidRPr="00254DA8">
        <w:rPr>
          <w:i/>
          <w:iCs/>
        </w:rPr>
        <w:t>) III</w:t>
      </w:r>
      <w:r w:rsidRPr="00254DA8">
        <w:rPr>
          <w:i/>
          <w:iCs/>
        </w:rPr>
        <w:t>. Existan antecedentes o datos de cualquier tipo de violencia en el ámbito familiar, laboral o escolar, del sujeto activo en contra de la víctima (…</w:t>
      </w:r>
      <w:r w:rsidRPr="00254DA8">
        <w:t>)”.</w:t>
      </w:r>
    </w:p>
  </w:footnote>
  <w:footnote w:id="108">
    <w:p w:rsidR="00D12A7F" w:rsidRDefault="00CD542C" w:rsidP="00DF40ED">
      <w:pPr>
        <w:pStyle w:val="Textonotapie"/>
        <w:jc w:val="both"/>
      </w:pPr>
      <w:r w:rsidRPr="00254DA8">
        <w:rPr>
          <w:rStyle w:val="Refdenotaalpie"/>
        </w:rPr>
        <w:footnoteRef/>
      </w:r>
      <w:r w:rsidRPr="00254DA8">
        <w:t xml:space="preserve"> Ley Integral Contra la Violencia Hacia las Mujeres y de Reformas a la Ley no. 641, “Código Penal” (Ley nº779 de 2012). “</w:t>
      </w:r>
      <w:r w:rsidRPr="00254DA8">
        <w:rPr>
          <w:i/>
          <w:iCs/>
        </w:rPr>
        <w:t>Artículo 9º. Femicidio. Comete el delito de femicidio el hombre que, en el marco de las relaciones desiguales de poder entre hombres y mujeres, diere muerte a una mujer ya sea en el ámbito público o privado, en cualquiera de las siguientes circunstancias: (…)c) Como resultado de la reiterada manifestación de violencia en contra de la víctima (…)</w:t>
      </w:r>
      <w:r w:rsidRPr="00254DA8">
        <w:t>”.</w:t>
      </w:r>
    </w:p>
  </w:footnote>
  <w:footnote w:id="109">
    <w:p w:rsidR="00D12A7F" w:rsidRDefault="00CD542C" w:rsidP="00DF40ED">
      <w:pPr>
        <w:pStyle w:val="Textonotapie"/>
        <w:jc w:val="both"/>
      </w:pPr>
      <w:r w:rsidRPr="00254DA8">
        <w:rPr>
          <w:rStyle w:val="Refdenotaalpie"/>
        </w:rPr>
        <w:footnoteRef/>
      </w:r>
      <w:r w:rsidRPr="00254DA8">
        <w:t xml:space="preserve"> </w:t>
      </w:r>
      <w:r w:rsidRPr="00254DA8">
        <w:rPr>
          <w:lang w:val="es-CO"/>
        </w:rPr>
        <w:t>Diccionario de la Real Academia Española. “Antecedente. (…).2. m. Acción, dicho o circunstancia que sirve para comprender o valorar hechos posteriores”.</w:t>
      </w:r>
    </w:p>
  </w:footnote>
  <w:footnote w:id="110">
    <w:p w:rsidR="00D12A7F" w:rsidRDefault="00CD542C" w:rsidP="00DF40ED">
      <w:pPr>
        <w:pStyle w:val="Textonotapie"/>
        <w:jc w:val="both"/>
      </w:pPr>
      <w:r w:rsidRPr="00254DA8">
        <w:rPr>
          <w:rStyle w:val="Refdenotaalpie"/>
        </w:rPr>
        <w:footnoteRef/>
      </w:r>
      <w:r w:rsidRPr="00254DA8">
        <w:t xml:space="preserve"> </w:t>
      </w:r>
      <w:r w:rsidRPr="00254DA8">
        <w:rPr>
          <w:lang w:val="es-CO"/>
        </w:rPr>
        <w:t>Diccionario de la Real Academia Española</w:t>
      </w:r>
    </w:p>
  </w:footnote>
  <w:footnote w:id="111">
    <w:p w:rsidR="00CD542C" w:rsidRPr="00254DA8" w:rsidRDefault="00CD542C" w:rsidP="00DF40ED">
      <w:pPr>
        <w:pStyle w:val="Textonotapie"/>
        <w:jc w:val="both"/>
        <w:rPr>
          <w:i/>
          <w:iCs/>
        </w:rPr>
      </w:pPr>
      <w:r w:rsidRPr="00254DA8">
        <w:rPr>
          <w:rStyle w:val="Refdenotaalpie"/>
        </w:rPr>
        <w:footnoteRef/>
      </w:r>
      <w:r w:rsidRPr="00254DA8">
        <w:t xml:space="preserve"> Ley 1564 de 2012. “</w:t>
      </w:r>
      <w:r w:rsidRPr="00254DA8">
        <w:rPr>
          <w:i/>
          <w:iCs/>
        </w:rPr>
        <w:t>Artículo 165. Medios de prueba. Son medios de prueba la declaración de parte, la confesión, el juramento, el testimonio de terceros, el dictamen pericial, la inspección judicial, los documentos, los indicios, los informes y cualesquiera otros medios que sean útiles para la formación del convencimiento del juez.</w:t>
      </w:r>
    </w:p>
    <w:p w:rsidR="00D12A7F" w:rsidRDefault="00CD542C" w:rsidP="00DF40ED">
      <w:pPr>
        <w:pStyle w:val="Textonotapie"/>
        <w:jc w:val="both"/>
      </w:pPr>
      <w:r w:rsidRPr="00254DA8">
        <w:rPr>
          <w:i/>
          <w:iCs/>
        </w:rPr>
        <w:t>El juez practicará las pruebas no previstas en este código de acuerdo con las disposiciones que regulen medios semejantes o según su prudente juicio, preservando los principios y garantías constitucionales</w:t>
      </w:r>
      <w:r w:rsidRPr="00254DA8">
        <w:t>”.</w:t>
      </w:r>
    </w:p>
  </w:footnote>
  <w:footnote w:id="112">
    <w:p w:rsidR="00D12A7F" w:rsidRDefault="00CD542C" w:rsidP="00DF40ED">
      <w:pPr>
        <w:pStyle w:val="Textonotapie"/>
        <w:jc w:val="both"/>
      </w:pPr>
      <w:r w:rsidRPr="00254DA8">
        <w:rPr>
          <w:rStyle w:val="Refdenotaalpie"/>
        </w:rPr>
        <w:footnoteRef/>
      </w:r>
      <w:r w:rsidRPr="00254DA8">
        <w:t xml:space="preserve"> Ley 1564 de 2012. “</w:t>
      </w:r>
      <w:r w:rsidRPr="00254DA8">
        <w:rPr>
          <w:i/>
          <w:iCs/>
        </w:rPr>
        <w:t>Artículo 240. Requisitos de los indicios. Para que un hecho pueda considerarse como indicio deberá estar debidamente probado en el proceso</w:t>
      </w:r>
      <w:r w:rsidRPr="00254DA8">
        <w:t>”.</w:t>
      </w:r>
    </w:p>
  </w:footnote>
  <w:footnote w:id="113">
    <w:p w:rsidR="00D12A7F" w:rsidRDefault="00CD542C" w:rsidP="00DF40ED">
      <w:pPr>
        <w:pStyle w:val="Textonotapie"/>
        <w:jc w:val="both"/>
      </w:pPr>
      <w:r w:rsidRPr="00254DA8">
        <w:rPr>
          <w:rStyle w:val="Refdenotaalpie"/>
        </w:rPr>
        <w:footnoteRef/>
      </w:r>
      <w:r w:rsidRPr="00254DA8">
        <w:t xml:space="preserve"> ONU Mujeres, la Oficina del Alto Comisionado de Derechos Humanos en América Central, y la Campaña latinoamericana para poner fin a la violencia contra las mujeres Únete, Modelo Protocolo latinoamericano de investigación de las muertes violentas de mujeres por razones de género (femicidio/feminicidio),</w:t>
      </w:r>
      <w:r>
        <w:t xml:space="preserve"> gráfico 1, capítulo III, p.37</w:t>
      </w:r>
      <w:r w:rsidRPr="00254DA8">
        <w:t>.</w:t>
      </w:r>
    </w:p>
  </w:footnote>
  <w:footnote w:id="114">
    <w:p w:rsidR="00D12A7F" w:rsidRDefault="00CD542C" w:rsidP="00DF40ED">
      <w:pPr>
        <w:pStyle w:val="Textonotapie"/>
        <w:jc w:val="both"/>
      </w:pPr>
      <w:r w:rsidRPr="00254DA8">
        <w:rPr>
          <w:rStyle w:val="Refdenotaalpie"/>
        </w:rPr>
        <w:footnoteRef/>
      </w:r>
      <w:r w:rsidRPr="00254DA8">
        <w:t xml:space="preserve"> ONU Mujeres, la Oficina del Alto Comisionado de Derechos Humanos en América Central, y la Campaña latinoamericana para poner fin a la violencia contra las mujeres Únete, Modelo Protocolo latinoamericano de investigación de las muertes violentas de mujeres por razones de género (femicidio/feminicidio), pár. 137.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2C" w:rsidRDefault="00CD542C" w:rsidP="008C4E6D">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D542C" w:rsidRDefault="00CD542C" w:rsidP="008C4E6D">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2C" w:rsidRDefault="00CD542C" w:rsidP="008C4E6D">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1106F">
      <w:rPr>
        <w:rStyle w:val="Nmerodepgina"/>
        <w:noProof/>
      </w:rPr>
      <w:t>60</w:t>
    </w:r>
    <w:r>
      <w:rPr>
        <w:rStyle w:val="Nmerodepgina"/>
      </w:rPr>
      <w:fldChar w:fldCharType="end"/>
    </w:r>
  </w:p>
  <w:p w:rsidR="00CD542C" w:rsidRDefault="00CD542C" w:rsidP="00CD542C">
    <w:pPr>
      <w:pStyle w:val="Encabezad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D43D7"/>
    <w:multiLevelType w:val="hybridMultilevel"/>
    <w:tmpl w:val="3E06E966"/>
    <w:lvl w:ilvl="0" w:tplc="6CF098D8">
      <w:start w:val="21"/>
      <w:numFmt w:val="decimal"/>
      <w:lvlText w:val="%1."/>
      <w:lvlJc w:val="left"/>
      <w:pPr>
        <w:ind w:left="735" w:hanging="375"/>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nsid w:val="2BC67F4C"/>
    <w:multiLevelType w:val="hybridMultilevel"/>
    <w:tmpl w:val="4DA2CFA4"/>
    <w:lvl w:ilvl="0" w:tplc="41E6A14C">
      <w:start w:val="1"/>
      <w:numFmt w:val="decimal"/>
      <w:suff w:val="nothing"/>
      <w:lvlText w:val="%1."/>
      <w:lvlJc w:val="left"/>
      <w:pPr>
        <w:ind w:left="2770" w:hanging="360"/>
      </w:pPr>
      <w:rPr>
        <w:rFonts w:cs="Times New Roman" w:hint="default"/>
        <w:b w:val="0"/>
        <w:i w:val="0"/>
        <w:color w:val="auto"/>
        <w:sz w:val="28"/>
        <w:szCs w:val="28"/>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nsid w:val="4AC7010D"/>
    <w:multiLevelType w:val="hybridMultilevel"/>
    <w:tmpl w:val="207468E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nsid w:val="5ED014E3"/>
    <w:multiLevelType w:val="hybridMultilevel"/>
    <w:tmpl w:val="4EDE04A4"/>
    <w:lvl w:ilvl="0" w:tplc="B36CE6CA">
      <w:start w:val="5"/>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FD94A48"/>
    <w:multiLevelType w:val="hybridMultilevel"/>
    <w:tmpl w:val="DC9279B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nsid w:val="75AF0924"/>
    <w:multiLevelType w:val="hybridMultilevel"/>
    <w:tmpl w:val="B2C4B1E6"/>
    <w:lvl w:ilvl="0" w:tplc="2BD4C308">
      <w:start w:val="1"/>
      <w:numFmt w:val="upperRoman"/>
      <w:suff w:val="nothing"/>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5"/>
  </w:num>
  <w:num w:numId="2">
    <w:abstractNumId w:val="2"/>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063"/>
    <w:rsid w:val="000021C0"/>
    <w:rsid w:val="00002B31"/>
    <w:rsid w:val="00003216"/>
    <w:rsid w:val="000103AD"/>
    <w:rsid w:val="00010EEE"/>
    <w:rsid w:val="00011F2F"/>
    <w:rsid w:val="00014DFE"/>
    <w:rsid w:val="00023FB2"/>
    <w:rsid w:val="000257E4"/>
    <w:rsid w:val="00025E51"/>
    <w:rsid w:val="0002614A"/>
    <w:rsid w:val="00026DD2"/>
    <w:rsid w:val="00030818"/>
    <w:rsid w:val="00031B84"/>
    <w:rsid w:val="000351A0"/>
    <w:rsid w:val="0003775C"/>
    <w:rsid w:val="00040A24"/>
    <w:rsid w:val="000423E8"/>
    <w:rsid w:val="000430DD"/>
    <w:rsid w:val="00043716"/>
    <w:rsid w:val="000454D3"/>
    <w:rsid w:val="00046105"/>
    <w:rsid w:val="000478B2"/>
    <w:rsid w:val="00051905"/>
    <w:rsid w:val="00053779"/>
    <w:rsid w:val="00053D35"/>
    <w:rsid w:val="0005564C"/>
    <w:rsid w:val="00056BAF"/>
    <w:rsid w:val="0006156D"/>
    <w:rsid w:val="000617A6"/>
    <w:rsid w:val="0006459C"/>
    <w:rsid w:val="00067B62"/>
    <w:rsid w:val="00067FC6"/>
    <w:rsid w:val="00071124"/>
    <w:rsid w:val="00071542"/>
    <w:rsid w:val="000718E1"/>
    <w:rsid w:val="00071D18"/>
    <w:rsid w:val="00075710"/>
    <w:rsid w:val="0007629F"/>
    <w:rsid w:val="0007785F"/>
    <w:rsid w:val="00083467"/>
    <w:rsid w:val="00084D63"/>
    <w:rsid w:val="00090200"/>
    <w:rsid w:val="000923D4"/>
    <w:rsid w:val="00094DA7"/>
    <w:rsid w:val="000A01CE"/>
    <w:rsid w:val="000A10AE"/>
    <w:rsid w:val="000A139D"/>
    <w:rsid w:val="000A5842"/>
    <w:rsid w:val="000B169C"/>
    <w:rsid w:val="000B51F4"/>
    <w:rsid w:val="000B69B9"/>
    <w:rsid w:val="000C008F"/>
    <w:rsid w:val="000C0F4E"/>
    <w:rsid w:val="000C22F2"/>
    <w:rsid w:val="000C252D"/>
    <w:rsid w:val="000D38D3"/>
    <w:rsid w:val="000E1A49"/>
    <w:rsid w:val="000E29B0"/>
    <w:rsid w:val="000E3AF4"/>
    <w:rsid w:val="000E6EBE"/>
    <w:rsid w:val="000F1ED0"/>
    <w:rsid w:val="000F2624"/>
    <w:rsid w:val="000F4FD3"/>
    <w:rsid w:val="000F5732"/>
    <w:rsid w:val="000F683C"/>
    <w:rsid w:val="00102242"/>
    <w:rsid w:val="0010446E"/>
    <w:rsid w:val="00105165"/>
    <w:rsid w:val="00105DA5"/>
    <w:rsid w:val="0010669B"/>
    <w:rsid w:val="00106E50"/>
    <w:rsid w:val="00107E67"/>
    <w:rsid w:val="0011030E"/>
    <w:rsid w:val="00112963"/>
    <w:rsid w:val="00113EA6"/>
    <w:rsid w:val="00114D98"/>
    <w:rsid w:val="00115474"/>
    <w:rsid w:val="001213BD"/>
    <w:rsid w:val="001219D9"/>
    <w:rsid w:val="00122DFA"/>
    <w:rsid w:val="001259D8"/>
    <w:rsid w:val="00125A5C"/>
    <w:rsid w:val="00127053"/>
    <w:rsid w:val="001302BC"/>
    <w:rsid w:val="00132DCA"/>
    <w:rsid w:val="00135035"/>
    <w:rsid w:val="00140263"/>
    <w:rsid w:val="00144972"/>
    <w:rsid w:val="00145393"/>
    <w:rsid w:val="001456CE"/>
    <w:rsid w:val="0014787D"/>
    <w:rsid w:val="00147899"/>
    <w:rsid w:val="00147A9F"/>
    <w:rsid w:val="00151212"/>
    <w:rsid w:val="001512F9"/>
    <w:rsid w:val="00152CB7"/>
    <w:rsid w:val="00155828"/>
    <w:rsid w:val="00156992"/>
    <w:rsid w:val="00160FDA"/>
    <w:rsid w:val="001640A8"/>
    <w:rsid w:val="00164E68"/>
    <w:rsid w:val="001664CD"/>
    <w:rsid w:val="00166B57"/>
    <w:rsid w:val="0016704A"/>
    <w:rsid w:val="00172E2F"/>
    <w:rsid w:val="00177FC7"/>
    <w:rsid w:val="001805C4"/>
    <w:rsid w:val="0018303A"/>
    <w:rsid w:val="00184063"/>
    <w:rsid w:val="001879B8"/>
    <w:rsid w:val="00192698"/>
    <w:rsid w:val="00192DEA"/>
    <w:rsid w:val="0019499E"/>
    <w:rsid w:val="00195993"/>
    <w:rsid w:val="00195A4C"/>
    <w:rsid w:val="001963CB"/>
    <w:rsid w:val="00197160"/>
    <w:rsid w:val="001A0AD4"/>
    <w:rsid w:val="001A11C3"/>
    <w:rsid w:val="001A21DF"/>
    <w:rsid w:val="001A6CEF"/>
    <w:rsid w:val="001A75EC"/>
    <w:rsid w:val="001B27DC"/>
    <w:rsid w:val="001C04A4"/>
    <w:rsid w:val="001C0739"/>
    <w:rsid w:val="001C745D"/>
    <w:rsid w:val="001D0A3F"/>
    <w:rsid w:val="001D0EDA"/>
    <w:rsid w:val="001D5DF5"/>
    <w:rsid w:val="001D752B"/>
    <w:rsid w:val="001E0308"/>
    <w:rsid w:val="001E06AF"/>
    <w:rsid w:val="001E13D9"/>
    <w:rsid w:val="001E326C"/>
    <w:rsid w:val="001F00B4"/>
    <w:rsid w:val="001F51A2"/>
    <w:rsid w:val="001F5691"/>
    <w:rsid w:val="002017E9"/>
    <w:rsid w:val="0020233A"/>
    <w:rsid w:val="00203E48"/>
    <w:rsid w:val="00204444"/>
    <w:rsid w:val="00204C80"/>
    <w:rsid w:val="002061E5"/>
    <w:rsid w:val="002075B7"/>
    <w:rsid w:val="00207863"/>
    <w:rsid w:val="00207EAF"/>
    <w:rsid w:val="0021070C"/>
    <w:rsid w:val="0021224A"/>
    <w:rsid w:val="002146D3"/>
    <w:rsid w:val="00216F19"/>
    <w:rsid w:val="00221D31"/>
    <w:rsid w:val="002270F9"/>
    <w:rsid w:val="00233FE4"/>
    <w:rsid w:val="00236705"/>
    <w:rsid w:val="0024317E"/>
    <w:rsid w:val="002506D6"/>
    <w:rsid w:val="0025207E"/>
    <w:rsid w:val="002541A8"/>
    <w:rsid w:val="00254DA8"/>
    <w:rsid w:val="00256E71"/>
    <w:rsid w:val="002602CA"/>
    <w:rsid w:val="002630DE"/>
    <w:rsid w:val="002663E4"/>
    <w:rsid w:val="00270034"/>
    <w:rsid w:val="00270851"/>
    <w:rsid w:val="00270931"/>
    <w:rsid w:val="002718DE"/>
    <w:rsid w:val="00273919"/>
    <w:rsid w:val="0027452E"/>
    <w:rsid w:val="002823A9"/>
    <w:rsid w:val="002845E4"/>
    <w:rsid w:val="002849E2"/>
    <w:rsid w:val="00290446"/>
    <w:rsid w:val="00291798"/>
    <w:rsid w:val="002946EA"/>
    <w:rsid w:val="00295B34"/>
    <w:rsid w:val="002A1430"/>
    <w:rsid w:val="002A2DBA"/>
    <w:rsid w:val="002A6AB6"/>
    <w:rsid w:val="002A702A"/>
    <w:rsid w:val="002A73B8"/>
    <w:rsid w:val="002B1163"/>
    <w:rsid w:val="002B16A3"/>
    <w:rsid w:val="002B32DC"/>
    <w:rsid w:val="002B36EA"/>
    <w:rsid w:val="002B7F91"/>
    <w:rsid w:val="002C0244"/>
    <w:rsid w:val="002C0B01"/>
    <w:rsid w:val="002C0FF5"/>
    <w:rsid w:val="002C280F"/>
    <w:rsid w:val="002C43FF"/>
    <w:rsid w:val="002C4BDF"/>
    <w:rsid w:val="002C5290"/>
    <w:rsid w:val="002C5A09"/>
    <w:rsid w:val="002C7ED0"/>
    <w:rsid w:val="002D7AF8"/>
    <w:rsid w:val="002E19DB"/>
    <w:rsid w:val="002E4ADA"/>
    <w:rsid w:val="002E5084"/>
    <w:rsid w:val="002E600D"/>
    <w:rsid w:val="002F0A4F"/>
    <w:rsid w:val="002F156B"/>
    <w:rsid w:val="002F348F"/>
    <w:rsid w:val="002F57BC"/>
    <w:rsid w:val="002F712A"/>
    <w:rsid w:val="00301FA2"/>
    <w:rsid w:val="003035E2"/>
    <w:rsid w:val="0030523F"/>
    <w:rsid w:val="00305C4F"/>
    <w:rsid w:val="00310F0E"/>
    <w:rsid w:val="00310F20"/>
    <w:rsid w:val="00312EB3"/>
    <w:rsid w:val="003143D5"/>
    <w:rsid w:val="00314C2E"/>
    <w:rsid w:val="00315E30"/>
    <w:rsid w:val="00316403"/>
    <w:rsid w:val="00317C6D"/>
    <w:rsid w:val="0032222C"/>
    <w:rsid w:val="003245A2"/>
    <w:rsid w:val="00324DA5"/>
    <w:rsid w:val="00325452"/>
    <w:rsid w:val="003322A8"/>
    <w:rsid w:val="00333CF8"/>
    <w:rsid w:val="00335A0A"/>
    <w:rsid w:val="00335F6A"/>
    <w:rsid w:val="003368D4"/>
    <w:rsid w:val="003376F6"/>
    <w:rsid w:val="00337E07"/>
    <w:rsid w:val="00341652"/>
    <w:rsid w:val="003442E2"/>
    <w:rsid w:val="00344A7A"/>
    <w:rsid w:val="0035104B"/>
    <w:rsid w:val="003541B1"/>
    <w:rsid w:val="003602AC"/>
    <w:rsid w:val="00364FCE"/>
    <w:rsid w:val="00365597"/>
    <w:rsid w:val="003758D1"/>
    <w:rsid w:val="003762B9"/>
    <w:rsid w:val="0037688C"/>
    <w:rsid w:val="00383A38"/>
    <w:rsid w:val="0039075A"/>
    <w:rsid w:val="003916D6"/>
    <w:rsid w:val="00392B2D"/>
    <w:rsid w:val="00392BC3"/>
    <w:rsid w:val="003A39D3"/>
    <w:rsid w:val="003A5210"/>
    <w:rsid w:val="003B2A28"/>
    <w:rsid w:val="003B4106"/>
    <w:rsid w:val="003B432B"/>
    <w:rsid w:val="003B4475"/>
    <w:rsid w:val="003B59BB"/>
    <w:rsid w:val="003B5B51"/>
    <w:rsid w:val="003C0EFB"/>
    <w:rsid w:val="003C13BB"/>
    <w:rsid w:val="003C1BDD"/>
    <w:rsid w:val="003C5632"/>
    <w:rsid w:val="003C7E5F"/>
    <w:rsid w:val="003D38D5"/>
    <w:rsid w:val="003D59C8"/>
    <w:rsid w:val="003E025F"/>
    <w:rsid w:val="003E26D0"/>
    <w:rsid w:val="003E33B0"/>
    <w:rsid w:val="003F0058"/>
    <w:rsid w:val="003F0788"/>
    <w:rsid w:val="003F0BD5"/>
    <w:rsid w:val="003F3A13"/>
    <w:rsid w:val="003F7834"/>
    <w:rsid w:val="00400820"/>
    <w:rsid w:val="004008CA"/>
    <w:rsid w:val="00401C20"/>
    <w:rsid w:val="004059EE"/>
    <w:rsid w:val="00410A5B"/>
    <w:rsid w:val="0041142F"/>
    <w:rsid w:val="0041310D"/>
    <w:rsid w:val="0041540D"/>
    <w:rsid w:val="00416AEB"/>
    <w:rsid w:val="00416D6B"/>
    <w:rsid w:val="0042029E"/>
    <w:rsid w:val="00423CB9"/>
    <w:rsid w:val="00424EEE"/>
    <w:rsid w:val="0042600E"/>
    <w:rsid w:val="00426515"/>
    <w:rsid w:val="00430132"/>
    <w:rsid w:val="004301E1"/>
    <w:rsid w:val="004306C2"/>
    <w:rsid w:val="00431B43"/>
    <w:rsid w:val="004326B8"/>
    <w:rsid w:val="0043353B"/>
    <w:rsid w:val="0043520E"/>
    <w:rsid w:val="00437CD5"/>
    <w:rsid w:val="00441360"/>
    <w:rsid w:val="00443368"/>
    <w:rsid w:val="00445861"/>
    <w:rsid w:val="00445954"/>
    <w:rsid w:val="00446B2D"/>
    <w:rsid w:val="00451FA0"/>
    <w:rsid w:val="00452427"/>
    <w:rsid w:val="00452E0B"/>
    <w:rsid w:val="00453C8E"/>
    <w:rsid w:val="00454AFC"/>
    <w:rsid w:val="00462197"/>
    <w:rsid w:val="00466E0C"/>
    <w:rsid w:val="0046752F"/>
    <w:rsid w:val="00470BB4"/>
    <w:rsid w:val="004717F1"/>
    <w:rsid w:val="004744F9"/>
    <w:rsid w:val="00474E17"/>
    <w:rsid w:val="00481C6D"/>
    <w:rsid w:val="004836FC"/>
    <w:rsid w:val="00494612"/>
    <w:rsid w:val="004968D1"/>
    <w:rsid w:val="004A1D37"/>
    <w:rsid w:val="004A2272"/>
    <w:rsid w:val="004A5E56"/>
    <w:rsid w:val="004A788D"/>
    <w:rsid w:val="004B3536"/>
    <w:rsid w:val="004B3540"/>
    <w:rsid w:val="004B5A4F"/>
    <w:rsid w:val="004B6A5A"/>
    <w:rsid w:val="004B74D5"/>
    <w:rsid w:val="004C64DC"/>
    <w:rsid w:val="004D0C52"/>
    <w:rsid w:val="004D20E9"/>
    <w:rsid w:val="004D420E"/>
    <w:rsid w:val="004D60A4"/>
    <w:rsid w:val="004D7371"/>
    <w:rsid w:val="004E3696"/>
    <w:rsid w:val="004E406B"/>
    <w:rsid w:val="004E54E7"/>
    <w:rsid w:val="004E5AE2"/>
    <w:rsid w:val="004F1B79"/>
    <w:rsid w:val="00502F21"/>
    <w:rsid w:val="00503BAD"/>
    <w:rsid w:val="00504AD8"/>
    <w:rsid w:val="005077DF"/>
    <w:rsid w:val="00510F7F"/>
    <w:rsid w:val="00511FD3"/>
    <w:rsid w:val="005153A5"/>
    <w:rsid w:val="00515544"/>
    <w:rsid w:val="00524085"/>
    <w:rsid w:val="005243B2"/>
    <w:rsid w:val="005250B4"/>
    <w:rsid w:val="005250FC"/>
    <w:rsid w:val="0052685F"/>
    <w:rsid w:val="005272E5"/>
    <w:rsid w:val="005277F6"/>
    <w:rsid w:val="00527957"/>
    <w:rsid w:val="005338F2"/>
    <w:rsid w:val="00535D14"/>
    <w:rsid w:val="005364D8"/>
    <w:rsid w:val="00536A56"/>
    <w:rsid w:val="00540B79"/>
    <w:rsid w:val="00546BB2"/>
    <w:rsid w:val="00546FAD"/>
    <w:rsid w:val="00547D01"/>
    <w:rsid w:val="005500B2"/>
    <w:rsid w:val="00550434"/>
    <w:rsid w:val="00551558"/>
    <w:rsid w:val="00552E52"/>
    <w:rsid w:val="00554217"/>
    <w:rsid w:val="005552C9"/>
    <w:rsid w:val="00556710"/>
    <w:rsid w:val="00561A9E"/>
    <w:rsid w:val="005628E4"/>
    <w:rsid w:val="0056511E"/>
    <w:rsid w:val="00566475"/>
    <w:rsid w:val="00566DB2"/>
    <w:rsid w:val="00570E87"/>
    <w:rsid w:val="00574860"/>
    <w:rsid w:val="00574AAA"/>
    <w:rsid w:val="00575C70"/>
    <w:rsid w:val="00576477"/>
    <w:rsid w:val="005767BF"/>
    <w:rsid w:val="00580C25"/>
    <w:rsid w:val="00581426"/>
    <w:rsid w:val="00582074"/>
    <w:rsid w:val="005865EC"/>
    <w:rsid w:val="00587038"/>
    <w:rsid w:val="00587195"/>
    <w:rsid w:val="0058721C"/>
    <w:rsid w:val="00587F46"/>
    <w:rsid w:val="00590178"/>
    <w:rsid w:val="00594E02"/>
    <w:rsid w:val="00595191"/>
    <w:rsid w:val="0059582F"/>
    <w:rsid w:val="00596431"/>
    <w:rsid w:val="005A2427"/>
    <w:rsid w:val="005B0C7C"/>
    <w:rsid w:val="005B2EAA"/>
    <w:rsid w:val="005B4343"/>
    <w:rsid w:val="005B5817"/>
    <w:rsid w:val="005B751C"/>
    <w:rsid w:val="005B7CDD"/>
    <w:rsid w:val="005C0E76"/>
    <w:rsid w:val="005C14BA"/>
    <w:rsid w:val="005C2504"/>
    <w:rsid w:val="005C4885"/>
    <w:rsid w:val="005D038B"/>
    <w:rsid w:val="005D41D2"/>
    <w:rsid w:val="005E16A0"/>
    <w:rsid w:val="005E2B42"/>
    <w:rsid w:val="005E3B7C"/>
    <w:rsid w:val="005E3BE9"/>
    <w:rsid w:val="005E59AE"/>
    <w:rsid w:val="005E665C"/>
    <w:rsid w:val="005F1AB7"/>
    <w:rsid w:val="005F2178"/>
    <w:rsid w:val="005F24BF"/>
    <w:rsid w:val="005F4D48"/>
    <w:rsid w:val="005F7508"/>
    <w:rsid w:val="005F7CAB"/>
    <w:rsid w:val="00600A32"/>
    <w:rsid w:val="00602B2E"/>
    <w:rsid w:val="00605441"/>
    <w:rsid w:val="00606F86"/>
    <w:rsid w:val="00611006"/>
    <w:rsid w:val="006143D4"/>
    <w:rsid w:val="00614556"/>
    <w:rsid w:val="00615F61"/>
    <w:rsid w:val="00616180"/>
    <w:rsid w:val="00616546"/>
    <w:rsid w:val="00622D39"/>
    <w:rsid w:val="00625BDF"/>
    <w:rsid w:val="00630EAF"/>
    <w:rsid w:val="00633733"/>
    <w:rsid w:val="00637E23"/>
    <w:rsid w:val="006414D5"/>
    <w:rsid w:val="00642240"/>
    <w:rsid w:val="006435C0"/>
    <w:rsid w:val="006435E6"/>
    <w:rsid w:val="0064460A"/>
    <w:rsid w:val="0064580E"/>
    <w:rsid w:val="0065020A"/>
    <w:rsid w:val="00651947"/>
    <w:rsid w:val="00652909"/>
    <w:rsid w:val="0065523F"/>
    <w:rsid w:val="00656456"/>
    <w:rsid w:val="006567C3"/>
    <w:rsid w:val="006570D9"/>
    <w:rsid w:val="00660B25"/>
    <w:rsid w:val="00664163"/>
    <w:rsid w:val="0066438A"/>
    <w:rsid w:val="006660AA"/>
    <w:rsid w:val="00667FC5"/>
    <w:rsid w:val="006715FA"/>
    <w:rsid w:val="00673FF5"/>
    <w:rsid w:val="006770E7"/>
    <w:rsid w:val="00682390"/>
    <w:rsid w:val="0068434F"/>
    <w:rsid w:val="00691661"/>
    <w:rsid w:val="00693C41"/>
    <w:rsid w:val="00693D10"/>
    <w:rsid w:val="00695660"/>
    <w:rsid w:val="006976D1"/>
    <w:rsid w:val="006A08FB"/>
    <w:rsid w:val="006A0F00"/>
    <w:rsid w:val="006A4F5B"/>
    <w:rsid w:val="006A7E22"/>
    <w:rsid w:val="006B23F5"/>
    <w:rsid w:val="006B3424"/>
    <w:rsid w:val="006C0B0A"/>
    <w:rsid w:val="006C0B86"/>
    <w:rsid w:val="006C1897"/>
    <w:rsid w:val="006C31B3"/>
    <w:rsid w:val="006C7C7E"/>
    <w:rsid w:val="006D1BD8"/>
    <w:rsid w:val="006E1ED8"/>
    <w:rsid w:val="006E5853"/>
    <w:rsid w:val="006F4AAB"/>
    <w:rsid w:val="006F69D6"/>
    <w:rsid w:val="0070086F"/>
    <w:rsid w:val="00701773"/>
    <w:rsid w:val="00705AD6"/>
    <w:rsid w:val="00706C7C"/>
    <w:rsid w:val="007117A8"/>
    <w:rsid w:val="0071463C"/>
    <w:rsid w:val="0071783A"/>
    <w:rsid w:val="00720871"/>
    <w:rsid w:val="0072134E"/>
    <w:rsid w:val="007215E0"/>
    <w:rsid w:val="00721743"/>
    <w:rsid w:val="00721EF7"/>
    <w:rsid w:val="007236CD"/>
    <w:rsid w:val="00724925"/>
    <w:rsid w:val="00731C46"/>
    <w:rsid w:val="00731FE7"/>
    <w:rsid w:val="007356D1"/>
    <w:rsid w:val="00737F96"/>
    <w:rsid w:val="00741F4A"/>
    <w:rsid w:val="00743072"/>
    <w:rsid w:val="00744B03"/>
    <w:rsid w:val="007504C9"/>
    <w:rsid w:val="0075088E"/>
    <w:rsid w:val="00760558"/>
    <w:rsid w:val="00770E16"/>
    <w:rsid w:val="00773C3E"/>
    <w:rsid w:val="00773E0E"/>
    <w:rsid w:val="00775213"/>
    <w:rsid w:val="00775822"/>
    <w:rsid w:val="00775DBE"/>
    <w:rsid w:val="00776C8F"/>
    <w:rsid w:val="00776D77"/>
    <w:rsid w:val="00780ABE"/>
    <w:rsid w:val="007828CA"/>
    <w:rsid w:val="0078290B"/>
    <w:rsid w:val="007836A1"/>
    <w:rsid w:val="00783EE0"/>
    <w:rsid w:val="0078423E"/>
    <w:rsid w:val="00793959"/>
    <w:rsid w:val="00793F44"/>
    <w:rsid w:val="00794273"/>
    <w:rsid w:val="00794A59"/>
    <w:rsid w:val="00795D3C"/>
    <w:rsid w:val="00796A3F"/>
    <w:rsid w:val="007A2852"/>
    <w:rsid w:val="007A6641"/>
    <w:rsid w:val="007B0049"/>
    <w:rsid w:val="007B0352"/>
    <w:rsid w:val="007B15CB"/>
    <w:rsid w:val="007B1CA2"/>
    <w:rsid w:val="007B2686"/>
    <w:rsid w:val="007B3D7B"/>
    <w:rsid w:val="007C0AB6"/>
    <w:rsid w:val="007C112D"/>
    <w:rsid w:val="007C26AF"/>
    <w:rsid w:val="007D3F09"/>
    <w:rsid w:val="007D4B96"/>
    <w:rsid w:val="007D67FD"/>
    <w:rsid w:val="007D6BA9"/>
    <w:rsid w:val="007E01CC"/>
    <w:rsid w:val="007E01DC"/>
    <w:rsid w:val="007E0E1B"/>
    <w:rsid w:val="007E1EF9"/>
    <w:rsid w:val="007E33F5"/>
    <w:rsid w:val="007E4357"/>
    <w:rsid w:val="007F48D3"/>
    <w:rsid w:val="007F4A4A"/>
    <w:rsid w:val="007F60ED"/>
    <w:rsid w:val="007F72D6"/>
    <w:rsid w:val="00803B83"/>
    <w:rsid w:val="00807540"/>
    <w:rsid w:val="00813199"/>
    <w:rsid w:val="00813A99"/>
    <w:rsid w:val="00814E33"/>
    <w:rsid w:val="00816079"/>
    <w:rsid w:val="0081651B"/>
    <w:rsid w:val="008202E7"/>
    <w:rsid w:val="00822806"/>
    <w:rsid w:val="00822A32"/>
    <w:rsid w:val="00822ACE"/>
    <w:rsid w:val="008241C1"/>
    <w:rsid w:val="00825492"/>
    <w:rsid w:val="00826B33"/>
    <w:rsid w:val="008308EC"/>
    <w:rsid w:val="0083497B"/>
    <w:rsid w:val="00834FA2"/>
    <w:rsid w:val="008362CB"/>
    <w:rsid w:val="00836AC3"/>
    <w:rsid w:val="0084496F"/>
    <w:rsid w:val="00845726"/>
    <w:rsid w:val="008534DD"/>
    <w:rsid w:val="0085472B"/>
    <w:rsid w:val="0085543A"/>
    <w:rsid w:val="008555E7"/>
    <w:rsid w:val="00855F5E"/>
    <w:rsid w:val="00855FB5"/>
    <w:rsid w:val="00856881"/>
    <w:rsid w:val="00856B05"/>
    <w:rsid w:val="0086033A"/>
    <w:rsid w:val="00860F1B"/>
    <w:rsid w:val="008637BF"/>
    <w:rsid w:val="00866C28"/>
    <w:rsid w:val="00867C1D"/>
    <w:rsid w:val="00873CBF"/>
    <w:rsid w:val="00883C02"/>
    <w:rsid w:val="00885614"/>
    <w:rsid w:val="00893505"/>
    <w:rsid w:val="00894537"/>
    <w:rsid w:val="0089749D"/>
    <w:rsid w:val="008A08AF"/>
    <w:rsid w:val="008A0F8E"/>
    <w:rsid w:val="008A17BF"/>
    <w:rsid w:val="008A22FF"/>
    <w:rsid w:val="008A31F5"/>
    <w:rsid w:val="008A6845"/>
    <w:rsid w:val="008B22C8"/>
    <w:rsid w:val="008B2B46"/>
    <w:rsid w:val="008B35E2"/>
    <w:rsid w:val="008B3988"/>
    <w:rsid w:val="008B46AF"/>
    <w:rsid w:val="008B7127"/>
    <w:rsid w:val="008C0A4A"/>
    <w:rsid w:val="008C1FDC"/>
    <w:rsid w:val="008C3E20"/>
    <w:rsid w:val="008C4E6D"/>
    <w:rsid w:val="008C668A"/>
    <w:rsid w:val="008D0AE9"/>
    <w:rsid w:val="008D3440"/>
    <w:rsid w:val="008D3B6F"/>
    <w:rsid w:val="008D6AC8"/>
    <w:rsid w:val="008E4393"/>
    <w:rsid w:val="008E4BD3"/>
    <w:rsid w:val="008E59B3"/>
    <w:rsid w:val="008F4DBF"/>
    <w:rsid w:val="008F691E"/>
    <w:rsid w:val="008F71F7"/>
    <w:rsid w:val="0090378C"/>
    <w:rsid w:val="009058F0"/>
    <w:rsid w:val="00911FD3"/>
    <w:rsid w:val="00912380"/>
    <w:rsid w:val="00912413"/>
    <w:rsid w:val="00914969"/>
    <w:rsid w:val="00915519"/>
    <w:rsid w:val="00915826"/>
    <w:rsid w:val="0091627E"/>
    <w:rsid w:val="00916C9F"/>
    <w:rsid w:val="009201B9"/>
    <w:rsid w:val="0092399B"/>
    <w:rsid w:val="0093090C"/>
    <w:rsid w:val="009315F1"/>
    <w:rsid w:val="00932934"/>
    <w:rsid w:val="009372E5"/>
    <w:rsid w:val="0093766C"/>
    <w:rsid w:val="00937AFA"/>
    <w:rsid w:val="009401BC"/>
    <w:rsid w:val="00941505"/>
    <w:rsid w:val="0094335D"/>
    <w:rsid w:val="00943F38"/>
    <w:rsid w:val="00945040"/>
    <w:rsid w:val="00951ADA"/>
    <w:rsid w:val="009532DD"/>
    <w:rsid w:val="009539F6"/>
    <w:rsid w:val="00955422"/>
    <w:rsid w:val="00955AB5"/>
    <w:rsid w:val="00957455"/>
    <w:rsid w:val="0096052A"/>
    <w:rsid w:val="009606BC"/>
    <w:rsid w:val="00965B06"/>
    <w:rsid w:val="00966399"/>
    <w:rsid w:val="009666D0"/>
    <w:rsid w:val="00972D1E"/>
    <w:rsid w:val="00974596"/>
    <w:rsid w:val="009767E3"/>
    <w:rsid w:val="00976D8B"/>
    <w:rsid w:val="00981298"/>
    <w:rsid w:val="0098185E"/>
    <w:rsid w:val="00984A25"/>
    <w:rsid w:val="00984C30"/>
    <w:rsid w:val="0098514B"/>
    <w:rsid w:val="009913D2"/>
    <w:rsid w:val="00992E1B"/>
    <w:rsid w:val="009942DC"/>
    <w:rsid w:val="00995B51"/>
    <w:rsid w:val="0099647A"/>
    <w:rsid w:val="00996B48"/>
    <w:rsid w:val="009A16FD"/>
    <w:rsid w:val="009A1FE7"/>
    <w:rsid w:val="009A2358"/>
    <w:rsid w:val="009A24E3"/>
    <w:rsid w:val="009A4718"/>
    <w:rsid w:val="009A4740"/>
    <w:rsid w:val="009A6504"/>
    <w:rsid w:val="009B042F"/>
    <w:rsid w:val="009B1EEB"/>
    <w:rsid w:val="009B563C"/>
    <w:rsid w:val="009B68E5"/>
    <w:rsid w:val="009C08F0"/>
    <w:rsid w:val="009C3DFF"/>
    <w:rsid w:val="009C44CF"/>
    <w:rsid w:val="009C5112"/>
    <w:rsid w:val="009C7791"/>
    <w:rsid w:val="009D17C6"/>
    <w:rsid w:val="009D2528"/>
    <w:rsid w:val="009D25E0"/>
    <w:rsid w:val="009D3124"/>
    <w:rsid w:val="009D4DD2"/>
    <w:rsid w:val="009D5719"/>
    <w:rsid w:val="009D7F0A"/>
    <w:rsid w:val="009E1ABF"/>
    <w:rsid w:val="009E3688"/>
    <w:rsid w:val="009E7886"/>
    <w:rsid w:val="009E7D6D"/>
    <w:rsid w:val="009F216B"/>
    <w:rsid w:val="009F37A5"/>
    <w:rsid w:val="009F3A04"/>
    <w:rsid w:val="009F45C5"/>
    <w:rsid w:val="009F4CF3"/>
    <w:rsid w:val="009F70C1"/>
    <w:rsid w:val="00A001AE"/>
    <w:rsid w:val="00A019B4"/>
    <w:rsid w:val="00A05E58"/>
    <w:rsid w:val="00A06EBD"/>
    <w:rsid w:val="00A11CCA"/>
    <w:rsid w:val="00A25A8F"/>
    <w:rsid w:val="00A25E84"/>
    <w:rsid w:val="00A2609A"/>
    <w:rsid w:val="00A2697F"/>
    <w:rsid w:val="00A273D0"/>
    <w:rsid w:val="00A275B5"/>
    <w:rsid w:val="00A31997"/>
    <w:rsid w:val="00A32C83"/>
    <w:rsid w:val="00A32E0D"/>
    <w:rsid w:val="00A33ED9"/>
    <w:rsid w:val="00A359BA"/>
    <w:rsid w:val="00A404AF"/>
    <w:rsid w:val="00A50AD1"/>
    <w:rsid w:val="00A62F2F"/>
    <w:rsid w:val="00A62F30"/>
    <w:rsid w:val="00A6414A"/>
    <w:rsid w:val="00A66D43"/>
    <w:rsid w:val="00A7012D"/>
    <w:rsid w:val="00A718B5"/>
    <w:rsid w:val="00A727F7"/>
    <w:rsid w:val="00A72CD8"/>
    <w:rsid w:val="00A73067"/>
    <w:rsid w:val="00A73486"/>
    <w:rsid w:val="00A7389A"/>
    <w:rsid w:val="00A739DD"/>
    <w:rsid w:val="00A744E7"/>
    <w:rsid w:val="00A74542"/>
    <w:rsid w:val="00A74E94"/>
    <w:rsid w:val="00A761F4"/>
    <w:rsid w:val="00A76FE8"/>
    <w:rsid w:val="00A82B88"/>
    <w:rsid w:val="00A97822"/>
    <w:rsid w:val="00AA3700"/>
    <w:rsid w:val="00AA4B07"/>
    <w:rsid w:val="00AB035C"/>
    <w:rsid w:val="00AB323E"/>
    <w:rsid w:val="00AB343F"/>
    <w:rsid w:val="00AB49E2"/>
    <w:rsid w:val="00AC15DC"/>
    <w:rsid w:val="00AC1E46"/>
    <w:rsid w:val="00AC22E0"/>
    <w:rsid w:val="00AC63DA"/>
    <w:rsid w:val="00AD1F53"/>
    <w:rsid w:val="00AD4316"/>
    <w:rsid w:val="00AD4599"/>
    <w:rsid w:val="00AD464C"/>
    <w:rsid w:val="00AD7318"/>
    <w:rsid w:val="00AD732D"/>
    <w:rsid w:val="00AF01FD"/>
    <w:rsid w:val="00AF0697"/>
    <w:rsid w:val="00AF149E"/>
    <w:rsid w:val="00AF7A46"/>
    <w:rsid w:val="00B01F05"/>
    <w:rsid w:val="00B0279C"/>
    <w:rsid w:val="00B046C8"/>
    <w:rsid w:val="00B04998"/>
    <w:rsid w:val="00B0512D"/>
    <w:rsid w:val="00B05D90"/>
    <w:rsid w:val="00B07C96"/>
    <w:rsid w:val="00B1056F"/>
    <w:rsid w:val="00B1106F"/>
    <w:rsid w:val="00B14F72"/>
    <w:rsid w:val="00B150B5"/>
    <w:rsid w:val="00B20365"/>
    <w:rsid w:val="00B22A91"/>
    <w:rsid w:val="00B23F05"/>
    <w:rsid w:val="00B23FD5"/>
    <w:rsid w:val="00B25FE7"/>
    <w:rsid w:val="00B27152"/>
    <w:rsid w:val="00B27BA6"/>
    <w:rsid w:val="00B32CD7"/>
    <w:rsid w:val="00B34CC6"/>
    <w:rsid w:val="00B40D61"/>
    <w:rsid w:val="00B410A9"/>
    <w:rsid w:val="00B460D6"/>
    <w:rsid w:val="00B50E55"/>
    <w:rsid w:val="00B53ED7"/>
    <w:rsid w:val="00B54484"/>
    <w:rsid w:val="00B55162"/>
    <w:rsid w:val="00B70DA5"/>
    <w:rsid w:val="00B70FC5"/>
    <w:rsid w:val="00B72341"/>
    <w:rsid w:val="00B76348"/>
    <w:rsid w:val="00B777EF"/>
    <w:rsid w:val="00B80BE1"/>
    <w:rsid w:val="00B821CA"/>
    <w:rsid w:val="00B8345E"/>
    <w:rsid w:val="00B83B51"/>
    <w:rsid w:val="00B84D73"/>
    <w:rsid w:val="00B87CC3"/>
    <w:rsid w:val="00B91661"/>
    <w:rsid w:val="00B91664"/>
    <w:rsid w:val="00B922DC"/>
    <w:rsid w:val="00B934D0"/>
    <w:rsid w:val="00B94EC1"/>
    <w:rsid w:val="00B957C4"/>
    <w:rsid w:val="00BA13F0"/>
    <w:rsid w:val="00BA2DE7"/>
    <w:rsid w:val="00BB2F41"/>
    <w:rsid w:val="00BB2F94"/>
    <w:rsid w:val="00BB6810"/>
    <w:rsid w:val="00BC249A"/>
    <w:rsid w:val="00BC259B"/>
    <w:rsid w:val="00BC311B"/>
    <w:rsid w:val="00BC3F29"/>
    <w:rsid w:val="00BC44F2"/>
    <w:rsid w:val="00BC5F9F"/>
    <w:rsid w:val="00BC7A07"/>
    <w:rsid w:val="00BD0356"/>
    <w:rsid w:val="00BD28B8"/>
    <w:rsid w:val="00BD4821"/>
    <w:rsid w:val="00BD528C"/>
    <w:rsid w:val="00BF1CDB"/>
    <w:rsid w:val="00BF44FD"/>
    <w:rsid w:val="00BF6A31"/>
    <w:rsid w:val="00C0047B"/>
    <w:rsid w:val="00C00D59"/>
    <w:rsid w:val="00C0140B"/>
    <w:rsid w:val="00C10D54"/>
    <w:rsid w:val="00C11A71"/>
    <w:rsid w:val="00C13AE1"/>
    <w:rsid w:val="00C149AE"/>
    <w:rsid w:val="00C163B3"/>
    <w:rsid w:val="00C17897"/>
    <w:rsid w:val="00C263E2"/>
    <w:rsid w:val="00C27C08"/>
    <w:rsid w:val="00C309A8"/>
    <w:rsid w:val="00C331C1"/>
    <w:rsid w:val="00C4220C"/>
    <w:rsid w:val="00C42B0A"/>
    <w:rsid w:val="00C42B0E"/>
    <w:rsid w:val="00C4382F"/>
    <w:rsid w:val="00C4576F"/>
    <w:rsid w:val="00C476C3"/>
    <w:rsid w:val="00C5118B"/>
    <w:rsid w:val="00C513A7"/>
    <w:rsid w:val="00C52D0F"/>
    <w:rsid w:val="00C53773"/>
    <w:rsid w:val="00C617B5"/>
    <w:rsid w:val="00C622A8"/>
    <w:rsid w:val="00C63BBD"/>
    <w:rsid w:val="00C6415F"/>
    <w:rsid w:val="00C64A26"/>
    <w:rsid w:val="00C65C54"/>
    <w:rsid w:val="00C67396"/>
    <w:rsid w:val="00C70F70"/>
    <w:rsid w:val="00C7171E"/>
    <w:rsid w:val="00C73B13"/>
    <w:rsid w:val="00C76747"/>
    <w:rsid w:val="00C77EA8"/>
    <w:rsid w:val="00C838A7"/>
    <w:rsid w:val="00C83CB1"/>
    <w:rsid w:val="00C84CCF"/>
    <w:rsid w:val="00C900AC"/>
    <w:rsid w:val="00C91163"/>
    <w:rsid w:val="00C937C5"/>
    <w:rsid w:val="00C9436D"/>
    <w:rsid w:val="00C975C2"/>
    <w:rsid w:val="00CA2A65"/>
    <w:rsid w:val="00CA2D32"/>
    <w:rsid w:val="00CA4DB0"/>
    <w:rsid w:val="00CA54F1"/>
    <w:rsid w:val="00CB61DE"/>
    <w:rsid w:val="00CC3889"/>
    <w:rsid w:val="00CD0DB7"/>
    <w:rsid w:val="00CD30D2"/>
    <w:rsid w:val="00CD3492"/>
    <w:rsid w:val="00CD4680"/>
    <w:rsid w:val="00CD542C"/>
    <w:rsid w:val="00CD556A"/>
    <w:rsid w:val="00CE1746"/>
    <w:rsid w:val="00CE2A39"/>
    <w:rsid w:val="00CE6BA4"/>
    <w:rsid w:val="00CF041D"/>
    <w:rsid w:val="00CF32CE"/>
    <w:rsid w:val="00CF3D83"/>
    <w:rsid w:val="00CF58A0"/>
    <w:rsid w:val="00D0251A"/>
    <w:rsid w:val="00D03626"/>
    <w:rsid w:val="00D056B1"/>
    <w:rsid w:val="00D062C4"/>
    <w:rsid w:val="00D065B3"/>
    <w:rsid w:val="00D10D56"/>
    <w:rsid w:val="00D1250D"/>
    <w:rsid w:val="00D12A7F"/>
    <w:rsid w:val="00D12DBA"/>
    <w:rsid w:val="00D1364B"/>
    <w:rsid w:val="00D13ED0"/>
    <w:rsid w:val="00D13FCC"/>
    <w:rsid w:val="00D15F68"/>
    <w:rsid w:val="00D164C4"/>
    <w:rsid w:val="00D17251"/>
    <w:rsid w:val="00D175A2"/>
    <w:rsid w:val="00D175D3"/>
    <w:rsid w:val="00D17F0B"/>
    <w:rsid w:val="00D27E3D"/>
    <w:rsid w:val="00D340DD"/>
    <w:rsid w:val="00D341E0"/>
    <w:rsid w:val="00D3575F"/>
    <w:rsid w:val="00D36BBB"/>
    <w:rsid w:val="00D3747A"/>
    <w:rsid w:val="00D379E3"/>
    <w:rsid w:val="00D41863"/>
    <w:rsid w:val="00D43BD0"/>
    <w:rsid w:val="00D43DF4"/>
    <w:rsid w:val="00D44AAF"/>
    <w:rsid w:val="00D50F1D"/>
    <w:rsid w:val="00D53A27"/>
    <w:rsid w:val="00D552F4"/>
    <w:rsid w:val="00D607B0"/>
    <w:rsid w:val="00D62905"/>
    <w:rsid w:val="00D65C2E"/>
    <w:rsid w:val="00D66E95"/>
    <w:rsid w:val="00D80CBC"/>
    <w:rsid w:val="00D810ED"/>
    <w:rsid w:val="00D81399"/>
    <w:rsid w:val="00D81B70"/>
    <w:rsid w:val="00D82936"/>
    <w:rsid w:val="00D95E29"/>
    <w:rsid w:val="00DA0C56"/>
    <w:rsid w:val="00DA0FDC"/>
    <w:rsid w:val="00DA446C"/>
    <w:rsid w:val="00DA5268"/>
    <w:rsid w:val="00DA6672"/>
    <w:rsid w:val="00DB401B"/>
    <w:rsid w:val="00DB4A90"/>
    <w:rsid w:val="00DB50A7"/>
    <w:rsid w:val="00DB55A8"/>
    <w:rsid w:val="00DB5855"/>
    <w:rsid w:val="00DB59A1"/>
    <w:rsid w:val="00DC006E"/>
    <w:rsid w:val="00DC055C"/>
    <w:rsid w:val="00DC2BF0"/>
    <w:rsid w:val="00DC4A1F"/>
    <w:rsid w:val="00DC6DF3"/>
    <w:rsid w:val="00DD154A"/>
    <w:rsid w:val="00DD2C03"/>
    <w:rsid w:val="00DD5154"/>
    <w:rsid w:val="00DD5D82"/>
    <w:rsid w:val="00DE1365"/>
    <w:rsid w:val="00DE4D50"/>
    <w:rsid w:val="00DF06AB"/>
    <w:rsid w:val="00DF0AE9"/>
    <w:rsid w:val="00DF40ED"/>
    <w:rsid w:val="00DF494F"/>
    <w:rsid w:val="00DF52CF"/>
    <w:rsid w:val="00DF57BB"/>
    <w:rsid w:val="00E01504"/>
    <w:rsid w:val="00E01C78"/>
    <w:rsid w:val="00E0221B"/>
    <w:rsid w:val="00E02319"/>
    <w:rsid w:val="00E02D4C"/>
    <w:rsid w:val="00E068CE"/>
    <w:rsid w:val="00E070D1"/>
    <w:rsid w:val="00E10478"/>
    <w:rsid w:val="00E106A2"/>
    <w:rsid w:val="00E106EE"/>
    <w:rsid w:val="00E10800"/>
    <w:rsid w:val="00E12B9C"/>
    <w:rsid w:val="00E17E6E"/>
    <w:rsid w:val="00E204C3"/>
    <w:rsid w:val="00E227CE"/>
    <w:rsid w:val="00E23EE9"/>
    <w:rsid w:val="00E242CC"/>
    <w:rsid w:val="00E24492"/>
    <w:rsid w:val="00E245BC"/>
    <w:rsid w:val="00E25362"/>
    <w:rsid w:val="00E25664"/>
    <w:rsid w:val="00E25B9F"/>
    <w:rsid w:val="00E26471"/>
    <w:rsid w:val="00E27D97"/>
    <w:rsid w:val="00E3013B"/>
    <w:rsid w:val="00E30C5C"/>
    <w:rsid w:val="00E3374F"/>
    <w:rsid w:val="00E33F22"/>
    <w:rsid w:val="00E34316"/>
    <w:rsid w:val="00E370BD"/>
    <w:rsid w:val="00E436EE"/>
    <w:rsid w:val="00E44818"/>
    <w:rsid w:val="00E449B4"/>
    <w:rsid w:val="00E469C5"/>
    <w:rsid w:val="00E472B9"/>
    <w:rsid w:val="00E5349B"/>
    <w:rsid w:val="00E55EB8"/>
    <w:rsid w:val="00E56603"/>
    <w:rsid w:val="00E56BA6"/>
    <w:rsid w:val="00E609C6"/>
    <w:rsid w:val="00E60C8C"/>
    <w:rsid w:val="00E62EB3"/>
    <w:rsid w:val="00E66503"/>
    <w:rsid w:val="00E70433"/>
    <w:rsid w:val="00E70AAE"/>
    <w:rsid w:val="00E70B76"/>
    <w:rsid w:val="00E737FB"/>
    <w:rsid w:val="00E75DB7"/>
    <w:rsid w:val="00E86475"/>
    <w:rsid w:val="00E868A7"/>
    <w:rsid w:val="00E869EA"/>
    <w:rsid w:val="00E902CB"/>
    <w:rsid w:val="00E91518"/>
    <w:rsid w:val="00E9443C"/>
    <w:rsid w:val="00E9591A"/>
    <w:rsid w:val="00EA1528"/>
    <w:rsid w:val="00EA2902"/>
    <w:rsid w:val="00EA322A"/>
    <w:rsid w:val="00EB37E4"/>
    <w:rsid w:val="00EB47D3"/>
    <w:rsid w:val="00EB4E52"/>
    <w:rsid w:val="00EB7BE9"/>
    <w:rsid w:val="00EB7E38"/>
    <w:rsid w:val="00EC1454"/>
    <w:rsid w:val="00EC5412"/>
    <w:rsid w:val="00ED0EF5"/>
    <w:rsid w:val="00ED20B5"/>
    <w:rsid w:val="00ED3045"/>
    <w:rsid w:val="00ED432D"/>
    <w:rsid w:val="00ED5FCE"/>
    <w:rsid w:val="00EE1558"/>
    <w:rsid w:val="00EE29E7"/>
    <w:rsid w:val="00EE33B2"/>
    <w:rsid w:val="00EE4ADB"/>
    <w:rsid w:val="00EE60D7"/>
    <w:rsid w:val="00EE6F86"/>
    <w:rsid w:val="00EF1505"/>
    <w:rsid w:val="00EF26E8"/>
    <w:rsid w:val="00EF5213"/>
    <w:rsid w:val="00F0263D"/>
    <w:rsid w:val="00F03EB7"/>
    <w:rsid w:val="00F04E5F"/>
    <w:rsid w:val="00F104A0"/>
    <w:rsid w:val="00F10D05"/>
    <w:rsid w:val="00F11145"/>
    <w:rsid w:val="00F1260B"/>
    <w:rsid w:val="00F136EE"/>
    <w:rsid w:val="00F1435E"/>
    <w:rsid w:val="00F144C3"/>
    <w:rsid w:val="00F20B67"/>
    <w:rsid w:val="00F22BC1"/>
    <w:rsid w:val="00F2458C"/>
    <w:rsid w:val="00F25DD0"/>
    <w:rsid w:val="00F31500"/>
    <w:rsid w:val="00F31BDF"/>
    <w:rsid w:val="00F3306F"/>
    <w:rsid w:val="00F3439E"/>
    <w:rsid w:val="00F34BB8"/>
    <w:rsid w:val="00F35ED7"/>
    <w:rsid w:val="00F36095"/>
    <w:rsid w:val="00F42604"/>
    <w:rsid w:val="00F427AC"/>
    <w:rsid w:val="00F435B1"/>
    <w:rsid w:val="00F45A3F"/>
    <w:rsid w:val="00F465DE"/>
    <w:rsid w:val="00F502EA"/>
    <w:rsid w:val="00F514E3"/>
    <w:rsid w:val="00F526CC"/>
    <w:rsid w:val="00F55D81"/>
    <w:rsid w:val="00F63BE7"/>
    <w:rsid w:val="00F723BF"/>
    <w:rsid w:val="00F72CCA"/>
    <w:rsid w:val="00F81B38"/>
    <w:rsid w:val="00F824BE"/>
    <w:rsid w:val="00F84204"/>
    <w:rsid w:val="00F8548B"/>
    <w:rsid w:val="00F87AF1"/>
    <w:rsid w:val="00F91719"/>
    <w:rsid w:val="00F92833"/>
    <w:rsid w:val="00F964CA"/>
    <w:rsid w:val="00F97AB8"/>
    <w:rsid w:val="00FA4C49"/>
    <w:rsid w:val="00FA7E44"/>
    <w:rsid w:val="00FB1B96"/>
    <w:rsid w:val="00FB4482"/>
    <w:rsid w:val="00FB4598"/>
    <w:rsid w:val="00FB5E12"/>
    <w:rsid w:val="00FB5E90"/>
    <w:rsid w:val="00FC04CA"/>
    <w:rsid w:val="00FC11B3"/>
    <w:rsid w:val="00FC1B13"/>
    <w:rsid w:val="00FC25C0"/>
    <w:rsid w:val="00FC288C"/>
    <w:rsid w:val="00FC5BEC"/>
    <w:rsid w:val="00FD0D81"/>
    <w:rsid w:val="00FD230C"/>
    <w:rsid w:val="00FD23AF"/>
    <w:rsid w:val="00FE077C"/>
    <w:rsid w:val="00FE18F7"/>
    <w:rsid w:val="00FE198E"/>
    <w:rsid w:val="00FE2B02"/>
    <w:rsid w:val="00FE588A"/>
    <w:rsid w:val="00FE619D"/>
    <w:rsid w:val="00FE697C"/>
    <w:rsid w:val="00FF39B0"/>
    <w:rsid w:val="00FF3A59"/>
    <w:rsid w:val="00FF5A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s-ES" w:eastAsia="es-E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4063"/>
    <w:pPr>
      <w:spacing w:after="160" w:line="259" w:lineRule="auto"/>
    </w:pPr>
    <w:rPr>
      <w:rFonts w:cs="Times New Roman"/>
      <w:sz w:val="22"/>
      <w:szCs w:val="22"/>
      <w:lang w:eastAsia="en-US"/>
    </w:rPr>
  </w:style>
  <w:style w:type="paragraph" w:styleId="Ttulo3">
    <w:name w:val="heading 3"/>
    <w:basedOn w:val="Normal"/>
    <w:next w:val="Normal"/>
    <w:link w:val="Ttulo3Car"/>
    <w:uiPriority w:val="9"/>
    <w:qFormat/>
    <w:rsid w:val="00693D10"/>
    <w:pPr>
      <w:keepNext/>
      <w:spacing w:after="0" w:line="240" w:lineRule="auto"/>
      <w:ind w:left="3402" w:right="-232"/>
      <w:jc w:val="both"/>
      <w:outlineLvl w:val="2"/>
    </w:pPr>
    <w:rPr>
      <w:rFonts w:ascii="Times New Roman" w:hAnsi="Times New Roman"/>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uiPriority w:val="9"/>
    <w:locked/>
    <w:rsid w:val="00693D10"/>
    <w:rPr>
      <w:rFonts w:ascii="Times New Roman" w:hAnsi="Times New Roman"/>
      <w:sz w:val="28"/>
      <w:lang w:val="es-ES_tradnl" w:eastAsia="es-ES"/>
    </w:rPr>
  </w:style>
  <w:style w:type="paragraph" w:styleId="Encabezado">
    <w:name w:val="header"/>
    <w:basedOn w:val="Normal"/>
    <w:link w:val="EncabezadoCar"/>
    <w:uiPriority w:val="99"/>
    <w:rsid w:val="00184063"/>
    <w:pPr>
      <w:tabs>
        <w:tab w:val="center" w:pos="4252"/>
        <w:tab w:val="right" w:pos="8504"/>
      </w:tabs>
      <w:spacing w:after="0" w:line="240" w:lineRule="auto"/>
    </w:pPr>
    <w:rPr>
      <w:rFonts w:ascii="Times New Roman" w:hAnsi="Times New Roman"/>
      <w:sz w:val="24"/>
      <w:szCs w:val="24"/>
      <w:lang w:eastAsia="es-ES"/>
    </w:rPr>
  </w:style>
  <w:style w:type="character" w:customStyle="1" w:styleId="EncabezadoCar">
    <w:name w:val="Encabezado Car"/>
    <w:link w:val="Encabezado"/>
    <w:uiPriority w:val="99"/>
    <w:locked/>
    <w:rsid w:val="00184063"/>
    <w:rPr>
      <w:rFonts w:ascii="Times New Roman" w:hAnsi="Times New Roman"/>
      <w:sz w:val="24"/>
      <w:lang w:val="x-none" w:eastAsia="es-ES"/>
    </w:rPr>
  </w:style>
  <w:style w:type="character" w:styleId="Nmerodepgina">
    <w:name w:val="page number"/>
    <w:uiPriority w:val="99"/>
    <w:rsid w:val="00184063"/>
  </w:style>
  <w:style w:type="paragraph" w:styleId="Prrafodelista">
    <w:name w:val="List Paragraph"/>
    <w:basedOn w:val="Normal"/>
    <w:uiPriority w:val="34"/>
    <w:qFormat/>
    <w:rsid w:val="00184063"/>
    <w:pPr>
      <w:spacing w:after="0" w:line="240" w:lineRule="auto"/>
      <w:ind w:left="720"/>
      <w:contextualSpacing/>
    </w:pPr>
    <w:rPr>
      <w:rFonts w:ascii="Times New Roman" w:hAnsi="Times New Roman"/>
      <w:sz w:val="24"/>
      <w:szCs w:val="24"/>
      <w:lang w:eastAsia="es-ES"/>
    </w:rPr>
  </w:style>
  <w:style w:type="paragraph" w:styleId="Textonotapie">
    <w:name w:val="footnote text"/>
    <w:aliases w:val="Footnote Text Char Char Char Char Char,Footnote Text Char Char Char Char,Ref. de nota al pie1,FA Fu,texto de nota al pie,Footnote Text Char Char Char,Footnote Text Char,Footnote Text Char Char Char Char Char Char Char Char,Footnote Te,Ca"/>
    <w:basedOn w:val="Normal"/>
    <w:link w:val="TextonotapieCar"/>
    <w:uiPriority w:val="99"/>
    <w:unhideWhenUsed/>
    <w:qFormat/>
    <w:rsid w:val="00184063"/>
    <w:pPr>
      <w:spacing w:after="0" w:line="240" w:lineRule="auto"/>
    </w:pPr>
    <w:rPr>
      <w:rFonts w:ascii="Times New Roman" w:hAnsi="Times New Roman"/>
      <w:sz w:val="20"/>
      <w:szCs w:val="20"/>
      <w:lang w:eastAsia="es-ES"/>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Footnote Text Char Car,Footnote Te Car,Ca Car"/>
    <w:link w:val="Textonotapie"/>
    <w:uiPriority w:val="99"/>
    <w:locked/>
    <w:rsid w:val="00184063"/>
    <w:rPr>
      <w:rFonts w:ascii="Times New Roman" w:hAnsi="Times New Roman"/>
      <w:sz w:val="20"/>
      <w:lang w:val="x-none" w:eastAsia="es-ES"/>
    </w:rPr>
  </w:style>
  <w:style w:type="character" w:styleId="Refdenotaalpie">
    <w:name w:val="footnote reference"/>
    <w:aliases w:val="Texto de nota al pie,Footnotes refss,Appel note de bas de page,Ref. de nota al pie 2,referencia nota al pie,Fago Fußnotenzeichen,Footnote number,BVI fnr,f,4_G,16 Point,Superscript 6 Point,Texto nota al pie,Footnote Reference Char3,FC"/>
    <w:uiPriority w:val="99"/>
    <w:unhideWhenUsed/>
    <w:rsid w:val="00184063"/>
    <w:rPr>
      <w:vertAlign w:val="superscript"/>
    </w:rPr>
  </w:style>
  <w:style w:type="paragraph" w:styleId="Textoindependiente">
    <w:name w:val="Body Text"/>
    <w:basedOn w:val="Normal"/>
    <w:link w:val="TextoindependienteCar"/>
    <w:uiPriority w:val="99"/>
    <w:unhideWhenUsed/>
    <w:rsid w:val="00184063"/>
    <w:pPr>
      <w:spacing w:after="120" w:line="240" w:lineRule="auto"/>
    </w:pPr>
    <w:rPr>
      <w:rFonts w:ascii="Times New Roman" w:hAnsi="Times New Roman"/>
      <w:sz w:val="24"/>
      <w:szCs w:val="24"/>
      <w:lang w:eastAsia="es-ES"/>
    </w:rPr>
  </w:style>
  <w:style w:type="character" w:customStyle="1" w:styleId="TextoindependienteCar">
    <w:name w:val="Texto independiente Car"/>
    <w:link w:val="Textoindependiente"/>
    <w:uiPriority w:val="99"/>
    <w:locked/>
    <w:rsid w:val="00184063"/>
    <w:rPr>
      <w:rFonts w:ascii="Times New Roman" w:hAnsi="Times New Roman"/>
      <w:sz w:val="24"/>
      <w:lang w:val="x-none" w:eastAsia="es-ES"/>
    </w:rPr>
  </w:style>
  <w:style w:type="paragraph" w:customStyle="1" w:styleId="Corte1">
    <w:name w:val="Corte1"/>
    <w:basedOn w:val="Textonotapie"/>
    <w:link w:val="Corte1Car"/>
    <w:qFormat/>
    <w:rsid w:val="00184063"/>
  </w:style>
  <w:style w:type="character" w:customStyle="1" w:styleId="Corte1Car">
    <w:name w:val="Corte1 Car"/>
    <w:link w:val="Corte1"/>
    <w:locked/>
    <w:rsid w:val="00184063"/>
  </w:style>
  <w:style w:type="paragraph" w:styleId="Piedepgina">
    <w:name w:val="footer"/>
    <w:basedOn w:val="Normal"/>
    <w:link w:val="PiedepginaCar"/>
    <w:uiPriority w:val="99"/>
    <w:unhideWhenUsed/>
    <w:rsid w:val="00A72CD8"/>
    <w:pPr>
      <w:tabs>
        <w:tab w:val="center" w:pos="4252"/>
        <w:tab w:val="right" w:pos="8504"/>
      </w:tabs>
      <w:spacing w:after="0" w:line="240" w:lineRule="auto"/>
    </w:pPr>
  </w:style>
  <w:style w:type="character" w:customStyle="1" w:styleId="PiedepginaCar">
    <w:name w:val="Pie de página Car"/>
    <w:link w:val="Piedepgina"/>
    <w:uiPriority w:val="99"/>
    <w:locked/>
    <w:rsid w:val="00A72CD8"/>
  </w:style>
  <w:style w:type="paragraph" w:styleId="Textodeglobo">
    <w:name w:val="Balloon Text"/>
    <w:basedOn w:val="Normal"/>
    <w:link w:val="TextodegloboCar"/>
    <w:uiPriority w:val="99"/>
    <w:semiHidden/>
    <w:unhideWhenUsed/>
    <w:rsid w:val="00233FE4"/>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locked/>
    <w:rsid w:val="00233FE4"/>
    <w:rPr>
      <w:rFonts w:ascii="Segoe UI" w:hAnsi="Segoe UI"/>
      <w:sz w:val="18"/>
    </w:rPr>
  </w:style>
  <w:style w:type="character" w:customStyle="1" w:styleId="apple-converted-space">
    <w:name w:val="apple-converted-space"/>
    <w:rsid w:val="008856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s-ES" w:eastAsia="es-E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4063"/>
    <w:pPr>
      <w:spacing w:after="160" w:line="259" w:lineRule="auto"/>
    </w:pPr>
    <w:rPr>
      <w:rFonts w:cs="Times New Roman"/>
      <w:sz w:val="22"/>
      <w:szCs w:val="22"/>
      <w:lang w:eastAsia="en-US"/>
    </w:rPr>
  </w:style>
  <w:style w:type="paragraph" w:styleId="Ttulo3">
    <w:name w:val="heading 3"/>
    <w:basedOn w:val="Normal"/>
    <w:next w:val="Normal"/>
    <w:link w:val="Ttulo3Car"/>
    <w:uiPriority w:val="9"/>
    <w:qFormat/>
    <w:rsid w:val="00693D10"/>
    <w:pPr>
      <w:keepNext/>
      <w:spacing w:after="0" w:line="240" w:lineRule="auto"/>
      <w:ind w:left="3402" w:right="-232"/>
      <w:jc w:val="both"/>
      <w:outlineLvl w:val="2"/>
    </w:pPr>
    <w:rPr>
      <w:rFonts w:ascii="Times New Roman" w:hAnsi="Times New Roman"/>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uiPriority w:val="9"/>
    <w:locked/>
    <w:rsid w:val="00693D10"/>
    <w:rPr>
      <w:rFonts w:ascii="Times New Roman" w:hAnsi="Times New Roman"/>
      <w:sz w:val="28"/>
      <w:lang w:val="es-ES_tradnl" w:eastAsia="es-ES"/>
    </w:rPr>
  </w:style>
  <w:style w:type="paragraph" w:styleId="Encabezado">
    <w:name w:val="header"/>
    <w:basedOn w:val="Normal"/>
    <w:link w:val="EncabezadoCar"/>
    <w:uiPriority w:val="99"/>
    <w:rsid w:val="00184063"/>
    <w:pPr>
      <w:tabs>
        <w:tab w:val="center" w:pos="4252"/>
        <w:tab w:val="right" w:pos="8504"/>
      </w:tabs>
      <w:spacing w:after="0" w:line="240" w:lineRule="auto"/>
    </w:pPr>
    <w:rPr>
      <w:rFonts w:ascii="Times New Roman" w:hAnsi="Times New Roman"/>
      <w:sz w:val="24"/>
      <w:szCs w:val="24"/>
      <w:lang w:eastAsia="es-ES"/>
    </w:rPr>
  </w:style>
  <w:style w:type="character" w:customStyle="1" w:styleId="EncabezadoCar">
    <w:name w:val="Encabezado Car"/>
    <w:link w:val="Encabezado"/>
    <w:uiPriority w:val="99"/>
    <w:locked/>
    <w:rsid w:val="00184063"/>
    <w:rPr>
      <w:rFonts w:ascii="Times New Roman" w:hAnsi="Times New Roman"/>
      <w:sz w:val="24"/>
      <w:lang w:val="x-none" w:eastAsia="es-ES"/>
    </w:rPr>
  </w:style>
  <w:style w:type="character" w:styleId="Nmerodepgina">
    <w:name w:val="page number"/>
    <w:uiPriority w:val="99"/>
    <w:rsid w:val="00184063"/>
  </w:style>
  <w:style w:type="paragraph" w:styleId="Prrafodelista">
    <w:name w:val="List Paragraph"/>
    <w:basedOn w:val="Normal"/>
    <w:uiPriority w:val="34"/>
    <w:qFormat/>
    <w:rsid w:val="00184063"/>
    <w:pPr>
      <w:spacing w:after="0" w:line="240" w:lineRule="auto"/>
      <w:ind w:left="720"/>
      <w:contextualSpacing/>
    </w:pPr>
    <w:rPr>
      <w:rFonts w:ascii="Times New Roman" w:hAnsi="Times New Roman"/>
      <w:sz w:val="24"/>
      <w:szCs w:val="24"/>
      <w:lang w:eastAsia="es-ES"/>
    </w:rPr>
  </w:style>
  <w:style w:type="paragraph" w:styleId="Textonotapie">
    <w:name w:val="footnote text"/>
    <w:aliases w:val="Footnote Text Char Char Char Char Char,Footnote Text Char Char Char Char,Ref. de nota al pie1,FA Fu,texto de nota al pie,Footnote Text Char Char Char,Footnote Text Char,Footnote Text Char Char Char Char Char Char Char Char,Footnote Te,Ca"/>
    <w:basedOn w:val="Normal"/>
    <w:link w:val="TextonotapieCar"/>
    <w:uiPriority w:val="99"/>
    <w:unhideWhenUsed/>
    <w:qFormat/>
    <w:rsid w:val="00184063"/>
    <w:pPr>
      <w:spacing w:after="0" w:line="240" w:lineRule="auto"/>
    </w:pPr>
    <w:rPr>
      <w:rFonts w:ascii="Times New Roman" w:hAnsi="Times New Roman"/>
      <w:sz w:val="20"/>
      <w:szCs w:val="20"/>
      <w:lang w:eastAsia="es-ES"/>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Footnote Text Char Car,Footnote Te Car,Ca Car"/>
    <w:link w:val="Textonotapie"/>
    <w:uiPriority w:val="99"/>
    <w:locked/>
    <w:rsid w:val="00184063"/>
    <w:rPr>
      <w:rFonts w:ascii="Times New Roman" w:hAnsi="Times New Roman"/>
      <w:sz w:val="20"/>
      <w:lang w:val="x-none" w:eastAsia="es-ES"/>
    </w:rPr>
  </w:style>
  <w:style w:type="character" w:styleId="Refdenotaalpie">
    <w:name w:val="footnote reference"/>
    <w:aliases w:val="Texto de nota al pie,Footnotes refss,Appel note de bas de page,Ref. de nota al pie 2,referencia nota al pie,Fago Fußnotenzeichen,Footnote number,BVI fnr,f,4_G,16 Point,Superscript 6 Point,Texto nota al pie,Footnote Reference Char3,FC"/>
    <w:uiPriority w:val="99"/>
    <w:unhideWhenUsed/>
    <w:rsid w:val="00184063"/>
    <w:rPr>
      <w:vertAlign w:val="superscript"/>
    </w:rPr>
  </w:style>
  <w:style w:type="paragraph" w:styleId="Textoindependiente">
    <w:name w:val="Body Text"/>
    <w:basedOn w:val="Normal"/>
    <w:link w:val="TextoindependienteCar"/>
    <w:uiPriority w:val="99"/>
    <w:unhideWhenUsed/>
    <w:rsid w:val="00184063"/>
    <w:pPr>
      <w:spacing w:after="120" w:line="240" w:lineRule="auto"/>
    </w:pPr>
    <w:rPr>
      <w:rFonts w:ascii="Times New Roman" w:hAnsi="Times New Roman"/>
      <w:sz w:val="24"/>
      <w:szCs w:val="24"/>
      <w:lang w:eastAsia="es-ES"/>
    </w:rPr>
  </w:style>
  <w:style w:type="character" w:customStyle="1" w:styleId="TextoindependienteCar">
    <w:name w:val="Texto independiente Car"/>
    <w:link w:val="Textoindependiente"/>
    <w:uiPriority w:val="99"/>
    <w:locked/>
    <w:rsid w:val="00184063"/>
    <w:rPr>
      <w:rFonts w:ascii="Times New Roman" w:hAnsi="Times New Roman"/>
      <w:sz w:val="24"/>
      <w:lang w:val="x-none" w:eastAsia="es-ES"/>
    </w:rPr>
  </w:style>
  <w:style w:type="paragraph" w:customStyle="1" w:styleId="Corte1">
    <w:name w:val="Corte1"/>
    <w:basedOn w:val="Textonotapie"/>
    <w:link w:val="Corte1Car"/>
    <w:qFormat/>
    <w:rsid w:val="00184063"/>
  </w:style>
  <w:style w:type="character" w:customStyle="1" w:styleId="Corte1Car">
    <w:name w:val="Corte1 Car"/>
    <w:link w:val="Corte1"/>
    <w:locked/>
    <w:rsid w:val="00184063"/>
  </w:style>
  <w:style w:type="paragraph" w:styleId="Piedepgina">
    <w:name w:val="footer"/>
    <w:basedOn w:val="Normal"/>
    <w:link w:val="PiedepginaCar"/>
    <w:uiPriority w:val="99"/>
    <w:unhideWhenUsed/>
    <w:rsid w:val="00A72CD8"/>
    <w:pPr>
      <w:tabs>
        <w:tab w:val="center" w:pos="4252"/>
        <w:tab w:val="right" w:pos="8504"/>
      </w:tabs>
      <w:spacing w:after="0" w:line="240" w:lineRule="auto"/>
    </w:pPr>
  </w:style>
  <w:style w:type="character" w:customStyle="1" w:styleId="PiedepginaCar">
    <w:name w:val="Pie de página Car"/>
    <w:link w:val="Piedepgina"/>
    <w:uiPriority w:val="99"/>
    <w:locked/>
    <w:rsid w:val="00A72CD8"/>
  </w:style>
  <w:style w:type="paragraph" w:styleId="Textodeglobo">
    <w:name w:val="Balloon Text"/>
    <w:basedOn w:val="Normal"/>
    <w:link w:val="TextodegloboCar"/>
    <w:uiPriority w:val="99"/>
    <w:semiHidden/>
    <w:unhideWhenUsed/>
    <w:rsid w:val="00233FE4"/>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locked/>
    <w:rsid w:val="00233FE4"/>
    <w:rPr>
      <w:rFonts w:ascii="Segoe UI" w:hAnsi="Segoe UI"/>
      <w:sz w:val="18"/>
    </w:rPr>
  </w:style>
  <w:style w:type="character" w:customStyle="1" w:styleId="apple-converted-space">
    <w:name w:val="apple-converted-space"/>
    <w:rsid w:val="00885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489515">
      <w:marLeft w:val="0"/>
      <w:marRight w:val="0"/>
      <w:marTop w:val="0"/>
      <w:marBottom w:val="0"/>
      <w:divBdr>
        <w:top w:val="none" w:sz="0" w:space="0" w:color="auto"/>
        <w:left w:val="none" w:sz="0" w:space="0" w:color="auto"/>
        <w:bottom w:val="none" w:sz="0" w:space="0" w:color="auto"/>
        <w:right w:val="none" w:sz="0" w:space="0" w:color="auto"/>
      </w:divBdr>
    </w:div>
    <w:div w:id="972489516">
      <w:marLeft w:val="0"/>
      <w:marRight w:val="0"/>
      <w:marTop w:val="0"/>
      <w:marBottom w:val="0"/>
      <w:divBdr>
        <w:top w:val="none" w:sz="0" w:space="0" w:color="auto"/>
        <w:left w:val="none" w:sz="0" w:space="0" w:color="auto"/>
        <w:bottom w:val="none" w:sz="0" w:space="0" w:color="auto"/>
        <w:right w:val="none" w:sz="0" w:space="0" w:color="auto"/>
      </w:divBdr>
    </w:div>
    <w:div w:id="9724895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14C60-34EB-4D12-BD39-C94530604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21503</Words>
  <Characters>118267</Characters>
  <Application>Microsoft Office Word</Application>
  <DocSecurity>0</DocSecurity>
  <Lines>985</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Francisco Ochoa Cadavid</dc:creator>
  <cp:lastModifiedBy>Eduard Montenegro Santana</cp:lastModifiedBy>
  <cp:revision>2</cp:revision>
  <cp:lastPrinted>2016-06-24T19:10:00Z</cp:lastPrinted>
  <dcterms:created xsi:type="dcterms:W3CDTF">2018-08-03T15:33:00Z</dcterms:created>
  <dcterms:modified xsi:type="dcterms:W3CDTF">2018-08-03T15:33:00Z</dcterms:modified>
</cp:coreProperties>
</file>